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E20C" w14:textId="0838ED1B" w:rsidR="00585A12" w:rsidRPr="00774DC6" w:rsidRDefault="00100B4C" w:rsidP="00F63867">
      <w:pPr>
        <w:spacing w:after="220" w:line="560" w:lineRule="exact"/>
        <w:rPr>
          <w:rFonts w:ascii="Arial" w:eastAsia="宋体" w:hAnsi="Arial" w:cs="Arial"/>
          <w:color w:val="auto"/>
        </w:rPr>
      </w:pPr>
      <w:r w:rsidRPr="00774DC6">
        <w:rPr>
          <w:rFonts w:ascii="Arial" w:eastAsia="宋体" w:hAnsi="Arial" w:cs="Arial"/>
          <w:color w:val="auto"/>
          <w:sz w:val="24"/>
        </w:rPr>
        <w:t>证券代码：</w:t>
      </w:r>
      <w:r w:rsidRPr="00774DC6">
        <w:rPr>
          <w:rFonts w:ascii="Arial" w:eastAsia="宋体" w:hAnsi="Arial" w:cs="Arial"/>
          <w:color w:val="auto"/>
          <w:sz w:val="24"/>
        </w:rPr>
        <w:t xml:space="preserve">688208                       </w:t>
      </w:r>
      <w:r w:rsidR="00681009">
        <w:rPr>
          <w:rFonts w:ascii="Arial" w:eastAsia="宋体" w:hAnsi="Arial" w:cs="Arial"/>
          <w:color w:val="auto"/>
          <w:sz w:val="24"/>
        </w:rPr>
        <w:t xml:space="preserve">                            </w:t>
      </w:r>
      <w:r w:rsidRPr="00774DC6">
        <w:rPr>
          <w:rFonts w:ascii="Arial" w:eastAsia="宋体" w:hAnsi="Arial" w:cs="Arial"/>
          <w:color w:val="auto"/>
          <w:sz w:val="24"/>
        </w:rPr>
        <w:t xml:space="preserve">           </w:t>
      </w:r>
      <w:r w:rsidRPr="00774DC6">
        <w:rPr>
          <w:rFonts w:ascii="Arial" w:eastAsia="宋体" w:hAnsi="Arial" w:cs="Arial"/>
          <w:color w:val="auto"/>
          <w:sz w:val="24"/>
        </w:rPr>
        <w:t>证券简称：道通科技</w:t>
      </w:r>
    </w:p>
    <w:p w14:paraId="29722F40" w14:textId="77777777" w:rsidR="000370AF" w:rsidRPr="00681009" w:rsidRDefault="00100B4C" w:rsidP="00F63867">
      <w:pPr>
        <w:spacing w:after="0" w:line="560" w:lineRule="exact"/>
        <w:jc w:val="center"/>
        <w:rPr>
          <w:rFonts w:ascii="黑体" w:eastAsia="黑体" w:hAnsi="黑体" w:cs="Arial"/>
          <w:b/>
          <w:color w:val="auto"/>
          <w:sz w:val="32"/>
        </w:rPr>
      </w:pPr>
      <w:r w:rsidRPr="00681009">
        <w:rPr>
          <w:rFonts w:ascii="黑体" w:eastAsia="黑体" w:hAnsi="黑体" w:cs="Arial"/>
          <w:b/>
          <w:color w:val="auto"/>
          <w:sz w:val="32"/>
        </w:rPr>
        <w:t>深圳市道通科技股份有限公司</w:t>
      </w:r>
      <w:r w:rsidR="00150DB7" w:rsidRPr="00681009">
        <w:rPr>
          <w:rFonts w:ascii="黑体" w:eastAsia="黑体" w:hAnsi="黑体" w:cs="Arial"/>
          <w:b/>
          <w:color w:val="auto"/>
          <w:sz w:val="32"/>
        </w:rPr>
        <w:t xml:space="preserve"> </w:t>
      </w:r>
    </w:p>
    <w:p w14:paraId="58AE92A4" w14:textId="2DED0853" w:rsidR="00585A12" w:rsidRPr="00681009" w:rsidRDefault="00100B4C" w:rsidP="00F63867">
      <w:pPr>
        <w:spacing w:after="0" w:line="560" w:lineRule="exact"/>
        <w:jc w:val="center"/>
        <w:rPr>
          <w:rFonts w:ascii="黑体" w:eastAsia="黑体" w:hAnsi="黑体" w:cs="Arial"/>
          <w:b/>
          <w:color w:val="auto"/>
          <w:sz w:val="32"/>
        </w:rPr>
      </w:pPr>
      <w:r w:rsidRPr="00681009">
        <w:rPr>
          <w:rFonts w:ascii="黑体" w:eastAsia="黑体" w:hAnsi="黑体" w:cs="Arial"/>
          <w:b/>
          <w:color w:val="auto"/>
          <w:sz w:val="32"/>
        </w:rPr>
        <w:t>投资者关系活动记录表</w:t>
      </w:r>
    </w:p>
    <w:p w14:paraId="3C3C84D4" w14:textId="70FC3830" w:rsidR="00585A12" w:rsidRPr="00774DC6" w:rsidRDefault="00585A12" w:rsidP="00F63867">
      <w:pPr>
        <w:spacing w:after="0" w:line="560" w:lineRule="exact"/>
        <w:jc w:val="center"/>
        <w:rPr>
          <w:rFonts w:ascii="Arial" w:eastAsia="宋体" w:hAnsi="Arial" w:cs="Arial"/>
          <w:b/>
          <w:color w:val="auto"/>
          <w:sz w:val="32"/>
        </w:rPr>
      </w:pPr>
    </w:p>
    <w:p w14:paraId="78C09E64" w14:textId="398C3316" w:rsidR="00585A12" w:rsidRPr="00774DC6" w:rsidRDefault="00552672">
      <w:pPr>
        <w:spacing w:after="0"/>
        <w:ind w:left="1179"/>
        <w:jc w:val="right"/>
        <w:rPr>
          <w:rFonts w:ascii="Arial" w:eastAsia="宋体" w:hAnsi="Arial" w:cs="Arial"/>
          <w:color w:val="auto"/>
        </w:rPr>
      </w:pPr>
      <w:r w:rsidRPr="00774DC6">
        <w:rPr>
          <w:rFonts w:ascii="Arial" w:eastAsia="宋体" w:hAnsi="Arial" w:cs="Arial"/>
          <w:color w:val="auto"/>
        </w:rPr>
        <w:t>编号：</w:t>
      </w:r>
      <w:r w:rsidRPr="00774DC6">
        <w:rPr>
          <w:rFonts w:ascii="Arial" w:eastAsia="宋体" w:hAnsi="Arial" w:cs="Arial"/>
          <w:color w:val="auto"/>
        </w:rPr>
        <w:t>2024-0</w:t>
      </w:r>
      <w:r w:rsidR="0052086E">
        <w:rPr>
          <w:rFonts w:ascii="Arial" w:eastAsia="宋体" w:hAnsi="Arial" w:cs="Arial"/>
          <w:color w:val="auto"/>
        </w:rPr>
        <w:t>1</w:t>
      </w:r>
      <w:r w:rsidR="005C46F9">
        <w:rPr>
          <w:rFonts w:ascii="Arial" w:eastAsia="宋体" w:hAnsi="Arial" w:cs="Arial"/>
          <w:color w:val="auto"/>
        </w:rPr>
        <w:t>5</w:t>
      </w:r>
    </w:p>
    <w:tbl>
      <w:tblPr>
        <w:tblStyle w:val="TableGrid"/>
        <w:tblW w:w="9356" w:type="dxa"/>
        <w:jc w:val="center"/>
        <w:tblInd w:w="0" w:type="dxa"/>
        <w:tblLayout w:type="fixed"/>
        <w:tblCellMar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997"/>
        <w:gridCol w:w="8359"/>
      </w:tblGrid>
      <w:tr w:rsidR="00C22940" w:rsidRPr="00774DC6" w14:paraId="7A14894B" w14:textId="77777777" w:rsidTr="0000316E">
        <w:trPr>
          <w:trHeight w:val="1739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5951" w14:textId="53FF1DFB" w:rsidR="00585A12" w:rsidRPr="00774DC6" w:rsidRDefault="00100B4C" w:rsidP="00686285">
            <w:pPr>
              <w:snapToGrid w:val="0"/>
              <w:spacing w:after="0" w:line="360" w:lineRule="auto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投资者关系活动类别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43CFD" w14:textId="286AE250" w:rsidR="00585A12" w:rsidRPr="00686285" w:rsidRDefault="005C46F9" w:rsidP="003F6FA5">
            <w:pPr>
              <w:snapToGrid w:val="0"/>
              <w:spacing w:after="0" w:line="320" w:lineRule="exact"/>
              <w:rPr>
                <w:rFonts w:ascii="宋体" w:eastAsia="宋体" w:hAnsi="宋体" w:cs="Arial"/>
                <w:color w:val="auto"/>
                <w:sz w:val="24"/>
                <w:szCs w:val="24"/>
              </w:rPr>
            </w:pP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■</w:t>
            </w:r>
            <w:r w:rsidR="00100B4C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特定对象调研        </w:t>
            </w:r>
            <w:r w:rsidR="00552672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□</w:t>
            </w:r>
            <w:r w:rsidR="00100B4C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分析师会议 </w:t>
            </w:r>
          </w:p>
          <w:p w14:paraId="6F14711A" w14:textId="32AD10EE" w:rsidR="00585A12" w:rsidRPr="00686285" w:rsidRDefault="00100B4C" w:rsidP="003F6FA5">
            <w:pPr>
              <w:snapToGrid w:val="0"/>
              <w:spacing w:after="0" w:line="320" w:lineRule="exact"/>
              <w:rPr>
                <w:rFonts w:ascii="宋体" w:eastAsia="宋体" w:hAnsi="宋体" w:cs="Arial"/>
                <w:color w:val="auto"/>
                <w:sz w:val="24"/>
                <w:szCs w:val="24"/>
              </w:rPr>
            </w:pP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□媒体采访        </w:t>
            </w:r>
            <w:r w:rsidR="00552672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 </w:t>
            </w: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   </w:t>
            </w:r>
            <w:r w:rsidR="005C46F9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□</w:t>
            </w: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业绩说明会 </w:t>
            </w:r>
          </w:p>
          <w:p w14:paraId="7E43DF50" w14:textId="10B1F9E0" w:rsidR="00585A12" w:rsidRPr="00686285" w:rsidRDefault="00100B4C" w:rsidP="003F6FA5">
            <w:pPr>
              <w:snapToGrid w:val="0"/>
              <w:spacing w:after="0" w:line="320" w:lineRule="exact"/>
              <w:rPr>
                <w:rFonts w:ascii="宋体" w:eastAsia="宋体" w:hAnsi="宋体" w:cs="Arial"/>
                <w:color w:val="auto"/>
                <w:sz w:val="24"/>
                <w:szCs w:val="24"/>
              </w:rPr>
            </w:pP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□新闻发布会     </w:t>
            </w:r>
            <w:r w:rsidR="00552672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  </w:t>
            </w: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   </w:t>
            </w:r>
            <w:r w:rsidR="00B109BA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□</w:t>
            </w: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路演活动 </w:t>
            </w:r>
          </w:p>
          <w:p w14:paraId="0CDB0BCF" w14:textId="65F25D43" w:rsidR="00585A12" w:rsidRPr="00686285" w:rsidRDefault="005C46F9" w:rsidP="003F6FA5">
            <w:pPr>
              <w:snapToGrid w:val="0"/>
              <w:spacing w:after="0" w:line="320" w:lineRule="exact"/>
              <w:rPr>
                <w:rFonts w:ascii="宋体" w:eastAsia="宋体" w:hAnsi="宋体" w:cs="Arial"/>
                <w:color w:val="auto"/>
                <w:sz w:val="24"/>
                <w:szCs w:val="24"/>
              </w:rPr>
            </w:pP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■</w:t>
            </w:r>
            <w:r w:rsidR="00100B4C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现场参观      </w:t>
            </w:r>
            <w:r w:rsidR="00552672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   </w:t>
            </w:r>
            <w:r w:rsidR="00100B4C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   </w:t>
            </w:r>
            <w:r w:rsidR="00D85F53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□</w:t>
            </w:r>
            <w:r w:rsidR="00100B4C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一对一沟通</w:t>
            </w:r>
          </w:p>
          <w:p w14:paraId="4A60AE89" w14:textId="287C22BA" w:rsidR="00585A12" w:rsidRPr="00686285" w:rsidRDefault="00062A7B" w:rsidP="003F6FA5">
            <w:pPr>
              <w:snapToGrid w:val="0"/>
              <w:spacing w:after="0" w:line="320" w:lineRule="exact"/>
              <w:rPr>
                <w:rFonts w:ascii="宋体" w:eastAsia="宋体" w:hAnsi="宋体" w:cs="Arial"/>
                <w:color w:val="auto"/>
                <w:sz w:val="24"/>
                <w:szCs w:val="24"/>
              </w:rPr>
            </w:pP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□</w:t>
            </w:r>
            <w:r w:rsidR="00100B4C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其他</w:t>
            </w:r>
            <w:r w:rsidR="008C3B0C">
              <w:rPr>
                <w:rFonts w:ascii="宋体" w:eastAsia="宋体" w:hAnsi="宋体" w:cs="Arial" w:hint="eastAsia"/>
                <w:color w:val="auto"/>
                <w:sz w:val="24"/>
                <w:szCs w:val="24"/>
              </w:rPr>
              <w:t>（电话会议）</w:t>
            </w:r>
          </w:p>
        </w:tc>
      </w:tr>
      <w:tr w:rsidR="00C22940" w:rsidRPr="00774DC6" w14:paraId="1EAD1ACB" w14:textId="77777777" w:rsidTr="00777F8A">
        <w:trPr>
          <w:trHeight w:val="1778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060D" w14:textId="77777777" w:rsidR="00585A12" w:rsidRPr="00774DC6" w:rsidRDefault="00100B4C">
            <w:pPr>
              <w:snapToGrid w:val="0"/>
              <w:spacing w:after="0" w:line="360" w:lineRule="auto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参与单位及人员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87A9" w14:textId="77777777" w:rsidR="00DE13E3" w:rsidRDefault="00DE13E3" w:rsidP="009F3DB7">
            <w:pPr>
              <w:spacing w:after="0" w:line="276" w:lineRule="auto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 w:rsidRPr="00DE13E3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民生证券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：</w:t>
            </w:r>
            <w:r w:rsidRPr="00DE13E3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邓永康</w:t>
            </w:r>
          </w:p>
          <w:p w14:paraId="46C8C151" w14:textId="4F411807" w:rsidR="009F3DB7" w:rsidRPr="00F01ACE" w:rsidRDefault="00DE13E3" w:rsidP="009F3DB7">
            <w:pPr>
              <w:spacing w:after="0" w:line="276" w:lineRule="auto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 w:rsidRPr="00DE13E3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建信基金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：</w:t>
            </w:r>
            <w:r w:rsidRPr="00DE13E3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李登虎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、</w:t>
            </w:r>
            <w:r w:rsidRPr="00DE13E3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程广飞、张文浩、左远明、王睿</w:t>
            </w:r>
          </w:p>
        </w:tc>
      </w:tr>
      <w:tr w:rsidR="00C22940" w:rsidRPr="00774DC6" w14:paraId="014B59B3" w14:textId="77777777" w:rsidTr="00FE296A">
        <w:trPr>
          <w:trHeight w:val="137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9EEE" w14:textId="77777777" w:rsidR="00585A12" w:rsidRPr="00774DC6" w:rsidRDefault="00100B4C" w:rsidP="008D787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11B7" w14:textId="08F2002B" w:rsidR="00062A7B" w:rsidRPr="00774DC6" w:rsidRDefault="00CC30BE" w:rsidP="00FE296A">
            <w:pPr>
              <w:snapToGrid w:val="0"/>
              <w:spacing w:after="0" w:line="276" w:lineRule="auto"/>
              <w:ind w:left="120" w:hangingChars="50" w:hanging="120"/>
              <w:jc w:val="both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color w:val="auto"/>
                <w:sz w:val="24"/>
                <w:szCs w:val="24"/>
              </w:rPr>
              <w:t>202</w:t>
            </w:r>
            <w:r w:rsidR="00D85F53" w:rsidRPr="00774DC6">
              <w:rPr>
                <w:rFonts w:ascii="Arial" w:eastAsia="宋体" w:hAnsi="Arial" w:cs="Arial"/>
                <w:color w:val="auto"/>
                <w:sz w:val="24"/>
                <w:szCs w:val="24"/>
              </w:rPr>
              <w:t>4</w:t>
            </w:r>
            <w:r w:rsidRPr="00774DC6">
              <w:rPr>
                <w:rFonts w:ascii="Arial" w:eastAsia="宋体" w:hAnsi="Arial" w:cs="Arial"/>
                <w:color w:val="auto"/>
                <w:sz w:val="24"/>
                <w:szCs w:val="24"/>
              </w:rPr>
              <w:t>年</w:t>
            </w:r>
            <w:r w:rsidR="00205634">
              <w:rPr>
                <w:rFonts w:ascii="Arial" w:eastAsia="宋体" w:hAnsi="Arial" w:cs="Arial"/>
                <w:color w:val="auto"/>
                <w:sz w:val="24"/>
                <w:szCs w:val="24"/>
              </w:rPr>
              <w:t>5</w:t>
            </w:r>
            <w:r w:rsidRPr="00774DC6">
              <w:rPr>
                <w:rFonts w:ascii="Arial" w:eastAsia="宋体" w:hAnsi="Arial" w:cs="Arial"/>
                <w:color w:val="auto"/>
                <w:sz w:val="24"/>
                <w:szCs w:val="24"/>
              </w:rPr>
              <w:t>月</w:t>
            </w:r>
            <w:r w:rsidR="00062A7B">
              <w:rPr>
                <w:rFonts w:ascii="Arial" w:eastAsia="宋体" w:hAnsi="Arial" w:cs="Arial"/>
                <w:color w:val="auto"/>
                <w:sz w:val="24"/>
                <w:szCs w:val="24"/>
              </w:rPr>
              <w:t>2</w:t>
            </w:r>
            <w:r w:rsidR="002C7C0A">
              <w:rPr>
                <w:rFonts w:ascii="Arial" w:eastAsia="宋体" w:hAnsi="Arial" w:cs="Arial"/>
                <w:color w:val="auto"/>
                <w:sz w:val="24"/>
                <w:szCs w:val="24"/>
              </w:rPr>
              <w:t>9</w:t>
            </w:r>
            <w:r w:rsidR="00062A7B"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日</w:t>
            </w:r>
            <w:r w:rsidR="00062A7B">
              <w:rPr>
                <w:rFonts w:ascii="Arial" w:eastAsia="宋体" w:hAnsi="Arial" w:cs="Arial"/>
                <w:color w:val="auto"/>
                <w:sz w:val="24"/>
                <w:szCs w:val="24"/>
              </w:rPr>
              <w:t>1</w:t>
            </w:r>
            <w:r w:rsidR="002C7C0A">
              <w:rPr>
                <w:rFonts w:ascii="Arial" w:eastAsia="宋体" w:hAnsi="Arial" w:cs="Arial"/>
                <w:color w:val="auto"/>
                <w:sz w:val="24"/>
                <w:szCs w:val="24"/>
              </w:rPr>
              <w:t>6</w:t>
            </w:r>
            <w:r w:rsidR="00062A7B">
              <w:rPr>
                <w:rFonts w:ascii="Arial" w:eastAsia="宋体" w:hAnsi="Arial" w:cs="Arial"/>
                <w:color w:val="auto"/>
                <w:sz w:val="24"/>
                <w:szCs w:val="24"/>
              </w:rPr>
              <w:t>:00</w:t>
            </w:r>
            <w:r w:rsidR="00777F8A"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-</w:t>
            </w:r>
            <w:r w:rsidR="00451965">
              <w:rPr>
                <w:rFonts w:ascii="Arial" w:eastAsia="宋体" w:hAnsi="Arial" w:cs="Arial"/>
                <w:color w:val="auto"/>
                <w:sz w:val="24"/>
                <w:szCs w:val="24"/>
              </w:rPr>
              <w:t>1</w:t>
            </w:r>
            <w:r w:rsidR="002C7C0A">
              <w:rPr>
                <w:rFonts w:ascii="Arial" w:eastAsia="宋体" w:hAnsi="Arial" w:cs="Arial"/>
                <w:color w:val="auto"/>
                <w:sz w:val="24"/>
                <w:szCs w:val="24"/>
              </w:rPr>
              <w:t>7</w:t>
            </w:r>
            <w:r w:rsidR="00451965">
              <w:rPr>
                <w:rFonts w:ascii="Arial" w:eastAsia="宋体" w:hAnsi="Arial" w:cs="Arial"/>
                <w:color w:val="auto"/>
                <w:sz w:val="24"/>
                <w:szCs w:val="24"/>
              </w:rPr>
              <w:t>:00</w:t>
            </w:r>
          </w:p>
        </w:tc>
      </w:tr>
      <w:tr w:rsidR="00C22940" w:rsidRPr="00774DC6" w14:paraId="4B617252" w14:textId="77777777" w:rsidTr="00FE296A">
        <w:trPr>
          <w:trHeight w:val="938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CEB1" w14:textId="77777777" w:rsidR="00585A12" w:rsidRPr="00774DC6" w:rsidRDefault="00100B4C" w:rsidP="008D787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2BA6" w14:textId="272DAC14" w:rsidR="00585A12" w:rsidRPr="00774DC6" w:rsidRDefault="002C7C0A" w:rsidP="00CC115F">
            <w:pPr>
              <w:spacing w:after="0" w:line="276" w:lineRule="auto"/>
              <w:jc w:val="both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公司会议室</w:t>
            </w:r>
          </w:p>
        </w:tc>
      </w:tr>
      <w:tr w:rsidR="008D787E" w:rsidRPr="00774DC6" w14:paraId="50334513" w14:textId="77777777" w:rsidTr="00777F8A">
        <w:trPr>
          <w:trHeight w:val="179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30EE" w14:textId="1BAF2CD0" w:rsidR="008D787E" w:rsidRPr="00774DC6" w:rsidRDefault="008D787E" w:rsidP="008D787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接待人员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8649" w14:textId="77777777" w:rsidR="00777F8A" w:rsidRDefault="002C7C0A" w:rsidP="00777F8A">
            <w:pPr>
              <w:snapToGrid w:val="0"/>
              <w:spacing w:after="0" w:line="276" w:lineRule="auto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投资者关系总监：李律</w:t>
            </w:r>
          </w:p>
          <w:p w14:paraId="5EDFF127" w14:textId="37C4AAE6" w:rsidR="002C7C0A" w:rsidRPr="00062A7B" w:rsidRDefault="002C7C0A" w:rsidP="00777F8A">
            <w:pPr>
              <w:snapToGrid w:val="0"/>
              <w:spacing w:after="0" w:line="276" w:lineRule="auto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证券事务代表：陈偲</w:t>
            </w:r>
          </w:p>
        </w:tc>
      </w:tr>
      <w:tr w:rsidR="00473A8E" w:rsidRPr="00774DC6" w14:paraId="1E3E6893" w14:textId="77777777" w:rsidTr="009C6D2E">
        <w:trPr>
          <w:trHeight w:val="1216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B457" w14:textId="48DE9AFC" w:rsidR="00473A8E" w:rsidRPr="00774DC6" w:rsidRDefault="00473A8E" w:rsidP="008D787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9B07" w14:textId="77777777" w:rsidR="00756FD0" w:rsidRDefault="00756FD0" w:rsidP="00552672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</w:p>
          <w:p w14:paraId="292C9AE2" w14:textId="2E61B2FE" w:rsidR="00CF55C0" w:rsidRDefault="00CF55C0" w:rsidP="00CF55C0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 w:rsidRPr="00E05BFF">
              <w:rPr>
                <w:rFonts w:ascii="Arial" w:eastAsia="宋体" w:hAnsi="Arial" w:cs="Arial" w:hint="eastAsia"/>
              </w:rPr>
              <w:t>本次投资者关系活动以特定对象现场参观调研的方式进行。首先接待人员带领投资者参观了公司展厅，展示了公司新能源充电桩产品的四大应用场景：第一是户用充电场景，展厅展出了</w:t>
            </w:r>
            <w:r w:rsidRPr="00E05BFF">
              <w:rPr>
                <w:rFonts w:ascii="Arial" w:eastAsia="宋体" w:hAnsi="Arial" w:cs="Arial"/>
              </w:rPr>
              <w:t>7</w:t>
            </w:r>
            <w:r w:rsidR="004576E7" w:rsidRPr="00802D9C">
              <w:rPr>
                <w:rFonts w:ascii="Arial" w:eastAsia="宋体" w:hAnsi="Arial" w:cs="Arial"/>
                <w:szCs w:val="28"/>
              </w:rPr>
              <w:t>k</w:t>
            </w:r>
            <w:r w:rsidRPr="00E05BFF">
              <w:rPr>
                <w:rFonts w:ascii="Arial" w:eastAsia="宋体" w:hAnsi="Arial" w:cs="Arial"/>
              </w:rPr>
              <w:t>W-22</w:t>
            </w:r>
            <w:r w:rsidR="004576E7" w:rsidRPr="00802D9C">
              <w:rPr>
                <w:rFonts w:ascii="Arial" w:eastAsia="宋体" w:hAnsi="Arial" w:cs="Arial"/>
                <w:szCs w:val="28"/>
              </w:rPr>
              <w:t>k</w:t>
            </w:r>
            <w:r w:rsidRPr="00E05BFF">
              <w:rPr>
                <w:rFonts w:ascii="Arial" w:eastAsia="宋体" w:hAnsi="Arial" w:cs="Arial"/>
              </w:rPr>
              <w:t>W</w:t>
            </w:r>
            <w:r w:rsidRPr="00E05BFF">
              <w:rPr>
                <w:rFonts w:ascii="Arial" w:eastAsia="宋体" w:hAnsi="Arial" w:cs="Arial" w:hint="eastAsia"/>
              </w:rPr>
              <w:t>欧标、美标的交流桩，户用充电桩主要通过</w:t>
            </w:r>
            <w:r w:rsidRPr="00E05BFF">
              <w:rPr>
                <w:rFonts w:ascii="Arial" w:eastAsia="宋体" w:hAnsi="Arial" w:cs="Arial"/>
              </w:rPr>
              <w:t>Amazon</w:t>
            </w:r>
            <w:r w:rsidRPr="00E05BFF">
              <w:rPr>
                <w:rFonts w:ascii="Arial" w:eastAsia="宋体" w:hAnsi="Arial" w:cs="Arial" w:hint="eastAsia"/>
              </w:rPr>
              <w:t>等电商平台销售。第二是目的地充电场景，主要为直流桩，用于人们办事途中充电，例如办公楼、酒店、商超停车场等。第三是在途</w:t>
            </w:r>
            <w:r w:rsidRPr="00E05BFF">
              <w:rPr>
                <w:rFonts w:ascii="Arial" w:eastAsia="宋体" w:hAnsi="Arial" w:cs="Arial" w:hint="eastAsia"/>
              </w:rPr>
              <w:lastRenderedPageBreak/>
              <w:t>充电场景，主要为高功率直流桩、超充桩，用于高速公路长途充电，展厅展出了高功率超充桩</w:t>
            </w:r>
            <w:r w:rsidRPr="00E05BFF">
              <w:rPr>
                <w:rFonts w:ascii="Arial" w:eastAsia="宋体" w:hAnsi="Arial" w:cs="Arial"/>
              </w:rPr>
              <w:t>DC HiPower</w:t>
            </w:r>
            <w:r w:rsidRPr="00E05BFF">
              <w:rPr>
                <w:rFonts w:ascii="Arial" w:eastAsia="宋体" w:hAnsi="Arial" w:cs="Arial" w:hint="eastAsia"/>
              </w:rPr>
              <w:t>，满配功率可达</w:t>
            </w:r>
            <w:r w:rsidRPr="00E05BFF">
              <w:rPr>
                <w:rFonts w:ascii="Arial" w:eastAsia="宋体" w:hAnsi="Arial" w:cs="Arial"/>
              </w:rPr>
              <w:t>640</w:t>
            </w:r>
            <w:r w:rsidR="004576E7" w:rsidRPr="00802D9C">
              <w:rPr>
                <w:rFonts w:ascii="Arial" w:eastAsia="宋体" w:hAnsi="Arial" w:cs="Arial"/>
                <w:szCs w:val="28"/>
              </w:rPr>
              <w:t>k</w:t>
            </w:r>
            <w:r w:rsidRPr="00E05BFF">
              <w:rPr>
                <w:rFonts w:ascii="Arial" w:eastAsia="宋体" w:hAnsi="Arial" w:cs="Arial"/>
              </w:rPr>
              <w:t>W</w:t>
            </w:r>
            <w:r w:rsidRPr="00E05BFF">
              <w:rPr>
                <w:rFonts w:ascii="Arial" w:eastAsia="宋体" w:hAnsi="Arial" w:cs="Arial" w:hint="eastAsia"/>
              </w:rPr>
              <w:t>，单枪输出功率</w:t>
            </w:r>
            <w:r w:rsidRPr="00E05BFF">
              <w:rPr>
                <w:rFonts w:ascii="Arial" w:eastAsia="宋体" w:hAnsi="Arial" w:cs="Arial"/>
              </w:rPr>
              <w:t xml:space="preserve"> 480</w:t>
            </w:r>
            <w:r w:rsidR="004576E7" w:rsidRPr="00802D9C">
              <w:rPr>
                <w:rFonts w:ascii="Arial" w:eastAsia="宋体" w:hAnsi="Arial" w:cs="Arial"/>
                <w:szCs w:val="28"/>
              </w:rPr>
              <w:t>k</w:t>
            </w:r>
            <w:r w:rsidRPr="00E05BFF">
              <w:rPr>
                <w:rFonts w:ascii="Arial" w:eastAsia="宋体" w:hAnsi="Arial" w:cs="Arial"/>
              </w:rPr>
              <w:t>W</w:t>
            </w:r>
            <w:r w:rsidRPr="00E05BFF">
              <w:rPr>
                <w:rFonts w:ascii="Arial" w:eastAsia="宋体" w:hAnsi="Arial" w:cs="Arial" w:hint="eastAsia"/>
              </w:rPr>
              <w:t>，充电</w:t>
            </w:r>
            <w:r w:rsidRPr="00E05BFF">
              <w:rPr>
                <w:rFonts w:ascii="Arial" w:eastAsia="宋体" w:hAnsi="Arial" w:cs="Arial"/>
              </w:rPr>
              <w:t>10</w:t>
            </w:r>
            <w:r w:rsidRPr="00E05BFF">
              <w:rPr>
                <w:rFonts w:ascii="Arial" w:eastAsia="宋体" w:hAnsi="Arial" w:cs="Arial" w:hint="eastAsia"/>
              </w:rPr>
              <w:t>分钟即可补能</w:t>
            </w:r>
            <w:r w:rsidRPr="00E05BFF">
              <w:rPr>
                <w:rFonts w:ascii="Arial" w:eastAsia="宋体" w:hAnsi="Arial" w:cs="Arial"/>
              </w:rPr>
              <w:t>400</w:t>
            </w:r>
            <w:r w:rsidRPr="00E05BFF">
              <w:rPr>
                <w:rFonts w:ascii="Arial" w:eastAsia="宋体" w:hAnsi="Arial" w:cs="Arial" w:hint="eastAsia"/>
              </w:rPr>
              <w:t>公里（约</w:t>
            </w:r>
            <w:r w:rsidRPr="00E05BFF">
              <w:rPr>
                <w:rFonts w:ascii="Arial" w:eastAsia="宋体" w:hAnsi="Arial" w:cs="Arial"/>
              </w:rPr>
              <w:t>250</w:t>
            </w:r>
            <w:r w:rsidRPr="00E05BFF">
              <w:rPr>
                <w:rFonts w:ascii="Arial" w:eastAsia="宋体" w:hAnsi="Arial" w:cs="Arial" w:hint="eastAsia"/>
              </w:rPr>
              <w:t>英里），使得充电速度媲美加油。第四是车队充电场景，具备充电覆盖范围大、可移动等特点。</w:t>
            </w:r>
          </w:p>
          <w:p w14:paraId="2F3E8FCB" w14:textId="77777777" w:rsidR="00CF55C0" w:rsidRDefault="00CF55C0" w:rsidP="00CF55C0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展厅参观结束后，</w:t>
            </w:r>
            <w:r w:rsidRPr="00046782">
              <w:rPr>
                <w:rFonts w:ascii="Arial" w:eastAsia="宋体" w:hAnsi="Arial" w:cs="Arial" w:hint="eastAsia"/>
              </w:rPr>
              <w:t>接待人员与投资者</w:t>
            </w:r>
            <w:r>
              <w:rPr>
                <w:rFonts w:ascii="Arial" w:eastAsia="宋体" w:hAnsi="Arial" w:cs="Arial" w:hint="eastAsia"/>
              </w:rPr>
              <w:t>前往公司会议室</w:t>
            </w:r>
            <w:r w:rsidRPr="00046782">
              <w:rPr>
                <w:rFonts w:ascii="Arial" w:eastAsia="宋体" w:hAnsi="Arial" w:cs="Arial" w:hint="eastAsia"/>
              </w:rPr>
              <w:t>进行</w:t>
            </w:r>
            <w:r>
              <w:rPr>
                <w:rFonts w:ascii="Arial" w:eastAsia="宋体" w:hAnsi="Arial" w:cs="Arial" w:hint="eastAsia"/>
              </w:rPr>
              <w:t>了</w:t>
            </w:r>
            <w:r w:rsidRPr="00046782">
              <w:rPr>
                <w:rFonts w:ascii="Arial" w:eastAsia="宋体" w:hAnsi="Arial" w:cs="Arial" w:hint="eastAsia"/>
              </w:rPr>
              <w:t>沟通交流，主要内容如下：</w:t>
            </w:r>
          </w:p>
          <w:p w14:paraId="32635E7C" w14:textId="77777777" w:rsidR="00CF55C0" w:rsidRPr="00CF55C0" w:rsidRDefault="00CF55C0" w:rsidP="006106FB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</w:p>
          <w:p w14:paraId="61601566" w14:textId="10F67052" w:rsidR="005E7929" w:rsidRPr="00777F8A" w:rsidRDefault="005E7929" w:rsidP="006106FB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  <w:r w:rsidRPr="00774DC6">
              <w:rPr>
                <w:rFonts w:ascii="Arial" w:eastAsia="宋体" w:hAnsi="Arial" w:cs="Arial"/>
                <w:b/>
                <w:bCs/>
              </w:rPr>
              <w:t>问题</w:t>
            </w:r>
            <w:r>
              <w:rPr>
                <w:rFonts w:ascii="Arial" w:eastAsia="宋体" w:hAnsi="Arial" w:cs="Arial" w:hint="eastAsia"/>
                <w:b/>
                <w:bCs/>
              </w:rPr>
              <w:t>一</w:t>
            </w:r>
            <w:r w:rsidRPr="00774DC6">
              <w:rPr>
                <w:rFonts w:ascii="Arial" w:eastAsia="宋体" w:hAnsi="Arial" w:cs="Arial"/>
                <w:b/>
                <w:bCs/>
              </w:rPr>
              <w:t>：</w:t>
            </w:r>
            <w:r w:rsidR="00FE04C1">
              <w:rPr>
                <w:rFonts w:ascii="Arial" w:eastAsia="宋体" w:hAnsi="Arial" w:cs="Arial" w:hint="eastAsia"/>
                <w:b/>
                <w:bCs/>
              </w:rPr>
              <w:t>海外充电桩市场空间、增速如何？</w:t>
            </w:r>
          </w:p>
          <w:p w14:paraId="00C2AAE2" w14:textId="6F6AD3E8" w:rsidR="00F056BE" w:rsidRDefault="00FE04C1" w:rsidP="00F056BE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 w:rsidRPr="00FE04C1">
              <w:rPr>
                <w:rFonts w:ascii="Arial" w:eastAsia="宋体" w:hAnsi="Arial" w:cs="Arial" w:hint="eastAsia"/>
              </w:rPr>
              <w:t>根据国际能源署（</w:t>
            </w:r>
            <w:r w:rsidRPr="00FE04C1">
              <w:rPr>
                <w:rFonts w:ascii="Arial" w:eastAsia="宋体" w:hAnsi="Arial" w:cs="Arial"/>
              </w:rPr>
              <w:t>IEA</w:t>
            </w:r>
            <w:r w:rsidRPr="00FE04C1">
              <w:rPr>
                <w:rFonts w:ascii="Arial" w:eastAsia="宋体" w:hAnsi="Arial" w:cs="Arial" w:hint="eastAsia"/>
              </w:rPr>
              <w:t>）发布的《</w:t>
            </w:r>
            <w:r w:rsidRPr="00FE04C1">
              <w:rPr>
                <w:rFonts w:ascii="Arial" w:eastAsia="宋体" w:hAnsi="Arial" w:cs="Arial"/>
              </w:rPr>
              <w:t>GlobalEVOutlook2023</w:t>
            </w:r>
            <w:r w:rsidRPr="00FE04C1">
              <w:rPr>
                <w:rFonts w:ascii="Arial" w:eastAsia="宋体" w:hAnsi="Arial" w:cs="Arial" w:hint="eastAsia"/>
              </w:rPr>
              <w:t>》预计，美国的新能源汽车（含巴士、轿车、卡车、</w:t>
            </w:r>
            <w:r w:rsidRPr="00FE04C1">
              <w:rPr>
                <w:rFonts w:ascii="Arial" w:eastAsia="宋体" w:hAnsi="Arial" w:cs="Arial"/>
              </w:rPr>
              <w:t>Van</w:t>
            </w:r>
            <w:r w:rsidRPr="00FE04C1">
              <w:rPr>
                <w:rFonts w:ascii="Arial" w:eastAsia="宋体" w:hAnsi="Arial" w:cs="Arial" w:hint="eastAsia"/>
              </w:rPr>
              <w:t>，且包含纯电和插电混动）在</w:t>
            </w:r>
            <w:r w:rsidRPr="00FE04C1">
              <w:rPr>
                <w:rFonts w:ascii="Arial" w:eastAsia="宋体" w:hAnsi="Arial" w:cs="Arial"/>
              </w:rPr>
              <w:t>2030</w:t>
            </w:r>
            <w:r w:rsidRPr="00FE04C1">
              <w:rPr>
                <w:rFonts w:ascii="Arial" w:eastAsia="宋体" w:hAnsi="Arial" w:cs="Arial" w:hint="eastAsia"/>
              </w:rPr>
              <w:t>年将达到</w:t>
            </w:r>
            <w:r w:rsidRPr="00FE04C1">
              <w:rPr>
                <w:rFonts w:ascii="Arial" w:eastAsia="宋体" w:hAnsi="Arial" w:cs="Arial"/>
              </w:rPr>
              <w:t>4100</w:t>
            </w:r>
            <w:r w:rsidRPr="00FE04C1">
              <w:rPr>
                <w:rFonts w:ascii="Arial" w:eastAsia="宋体" w:hAnsi="Arial" w:cs="Arial" w:hint="eastAsia"/>
              </w:rPr>
              <w:t>万台。与之相对应的，美国的公共快充桩将从</w:t>
            </w:r>
            <w:r w:rsidRPr="00FE04C1">
              <w:rPr>
                <w:rFonts w:ascii="Arial" w:eastAsia="宋体" w:hAnsi="Arial" w:cs="Arial"/>
              </w:rPr>
              <w:t>2022</w:t>
            </w:r>
            <w:r w:rsidRPr="00FE04C1">
              <w:rPr>
                <w:rFonts w:ascii="Arial" w:eastAsia="宋体" w:hAnsi="Arial" w:cs="Arial" w:hint="eastAsia"/>
              </w:rPr>
              <w:t>年的</w:t>
            </w:r>
            <w:r w:rsidRPr="00FE04C1">
              <w:rPr>
                <w:rFonts w:ascii="Arial" w:eastAsia="宋体" w:hAnsi="Arial" w:cs="Arial"/>
              </w:rPr>
              <w:t>2.8</w:t>
            </w:r>
            <w:r w:rsidRPr="00FE04C1">
              <w:rPr>
                <w:rFonts w:ascii="Arial" w:eastAsia="宋体" w:hAnsi="Arial" w:cs="Arial" w:hint="eastAsia"/>
              </w:rPr>
              <w:t>万个增长到</w:t>
            </w:r>
            <w:r w:rsidRPr="00FE04C1">
              <w:rPr>
                <w:rFonts w:ascii="Arial" w:eastAsia="宋体" w:hAnsi="Arial" w:cs="Arial"/>
              </w:rPr>
              <w:t>2030</w:t>
            </w:r>
            <w:r w:rsidRPr="00FE04C1">
              <w:rPr>
                <w:rFonts w:ascii="Arial" w:eastAsia="宋体" w:hAnsi="Arial" w:cs="Arial" w:hint="eastAsia"/>
              </w:rPr>
              <w:t>年的</w:t>
            </w:r>
            <w:r w:rsidRPr="00FE04C1">
              <w:rPr>
                <w:rFonts w:ascii="Arial" w:eastAsia="宋体" w:hAnsi="Arial" w:cs="Arial"/>
              </w:rPr>
              <w:t>38</w:t>
            </w:r>
            <w:r w:rsidRPr="00FE04C1">
              <w:rPr>
                <w:rFonts w:ascii="Arial" w:eastAsia="宋体" w:hAnsi="Arial" w:cs="Arial" w:hint="eastAsia"/>
              </w:rPr>
              <w:t>万个，年复合增长率为</w:t>
            </w:r>
            <w:r w:rsidRPr="00FE04C1">
              <w:rPr>
                <w:rFonts w:ascii="Arial" w:eastAsia="宋体" w:hAnsi="Arial" w:cs="Arial"/>
              </w:rPr>
              <w:t>38.5%</w:t>
            </w:r>
            <w:r w:rsidRPr="00FE04C1">
              <w:rPr>
                <w:rFonts w:ascii="Arial" w:eastAsia="宋体" w:hAnsi="Arial" w:cs="Arial" w:hint="eastAsia"/>
              </w:rPr>
              <w:t>；公共慢充桩将从</w:t>
            </w:r>
            <w:r w:rsidRPr="00FE04C1">
              <w:rPr>
                <w:rFonts w:ascii="Arial" w:eastAsia="宋体" w:hAnsi="Arial" w:cs="Arial"/>
              </w:rPr>
              <w:t>2022</w:t>
            </w:r>
            <w:r w:rsidRPr="00FE04C1">
              <w:rPr>
                <w:rFonts w:ascii="Arial" w:eastAsia="宋体" w:hAnsi="Arial" w:cs="Arial" w:hint="eastAsia"/>
              </w:rPr>
              <w:t>年的</w:t>
            </w:r>
            <w:r w:rsidRPr="00FE04C1">
              <w:rPr>
                <w:rFonts w:ascii="Arial" w:eastAsia="宋体" w:hAnsi="Arial" w:cs="Arial"/>
              </w:rPr>
              <w:t>10</w:t>
            </w:r>
            <w:r w:rsidRPr="00FE04C1">
              <w:rPr>
                <w:rFonts w:ascii="Arial" w:eastAsia="宋体" w:hAnsi="Arial" w:cs="Arial" w:hint="eastAsia"/>
              </w:rPr>
              <w:t>万个增长到</w:t>
            </w:r>
            <w:r w:rsidRPr="00FE04C1">
              <w:rPr>
                <w:rFonts w:ascii="Arial" w:eastAsia="宋体" w:hAnsi="Arial" w:cs="Arial"/>
              </w:rPr>
              <w:t>2030</w:t>
            </w:r>
            <w:r w:rsidRPr="00FE04C1">
              <w:rPr>
                <w:rFonts w:ascii="Arial" w:eastAsia="宋体" w:hAnsi="Arial" w:cs="Arial" w:hint="eastAsia"/>
              </w:rPr>
              <w:t>年的</w:t>
            </w:r>
            <w:r w:rsidRPr="00FE04C1">
              <w:rPr>
                <w:rFonts w:ascii="Arial" w:eastAsia="宋体" w:hAnsi="Arial" w:cs="Arial"/>
              </w:rPr>
              <w:t>100</w:t>
            </w:r>
            <w:r w:rsidRPr="00FE04C1">
              <w:rPr>
                <w:rFonts w:ascii="Arial" w:eastAsia="宋体" w:hAnsi="Arial" w:cs="Arial" w:hint="eastAsia"/>
              </w:rPr>
              <w:t>万个，年复合增长率为</w:t>
            </w:r>
            <w:r w:rsidRPr="00FE04C1">
              <w:rPr>
                <w:rFonts w:ascii="Arial" w:eastAsia="宋体" w:hAnsi="Arial" w:cs="Arial"/>
              </w:rPr>
              <w:t>33.4%</w:t>
            </w:r>
            <w:r w:rsidRPr="00FE04C1">
              <w:rPr>
                <w:rFonts w:ascii="Arial" w:eastAsia="宋体" w:hAnsi="Arial" w:cs="Arial" w:hint="eastAsia"/>
              </w:rPr>
              <w:t>。</w:t>
            </w:r>
          </w:p>
          <w:p w14:paraId="3D3DE3C5" w14:textId="1CB80E4F" w:rsidR="00FE04C1" w:rsidRDefault="00FE04C1" w:rsidP="00F056BE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 w:rsidRPr="00FE04C1">
              <w:rPr>
                <w:rFonts w:ascii="Arial" w:eastAsia="宋体" w:hAnsi="Arial" w:cs="Arial" w:hint="eastAsia"/>
              </w:rPr>
              <w:t>根据麦肯锡的预测，为实现美国联邦政府的零排放目标，美国的新能源汽车（含巴士、轿车、卡车、</w:t>
            </w:r>
            <w:r w:rsidRPr="00FE04C1">
              <w:rPr>
                <w:rFonts w:ascii="Arial" w:eastAsia="宋体" w:hAnsi="Arial" w:cs="Arial"/>
              </w:rPr>
              <w:t>Van</w:t>
            </w:r>
            <w:r w:rsidRPr="00FE04C1">
              <w:rPr>
                <w:rFonts w:ascii="Arial" w:eastAsia="宋体" w:hAnsi="Arial" w:cs="Arial" w:hint="eastAsia"/>
              </w:rPr>
              <w:t>，且包含纯电和插电混动）将从</w:t>
            </w:r>
            <w:r w:rsidRPr="00FE04C1">
              <w:rPr>
                <w:rFonts w:ascii="Arial" w:eastAsia="宋体" w:hAnsi="Arial" w:cs="Arial"/>
              </w:rPr>
              <w:t>2021</w:t>
            </w:r>
            <w:r w:rsidRPr="00FE04C1">
              <w:rPr>
                <w:rFonts w:ascii="Arial" w:eastAsia="宋体" w:hAnsi="Arial" w:cs="Arial" w:hint="eastAsia"/>
              </w:rPr>
              <w:t>年的</w:t>
            </w:r>
            <w:r w:rsidRPr="00FE04C1">
              <w:rPr>
                <w:rFonts w:ascii="Arial" w:eastAsia="宋体" w:hAnsi="Arial" w:cs="Arial"/>
              </w:rPr>
              <w:t>280</w:t>
            </w:r>
            <w:r w:rsidRPr="00FE04C1">
              <w:rPr>
                <w:rFonts w:ascii="Arial" w:eastAsia="宋体" w:hAnsi="Arial" w:cs="Arial" w:hint="eastAsia"/>
              </w:rPr>
              <w:t>万台，增长到</w:t>
            </w:r>
            <w:r w:rsidRPr="00FE04C1">
              <w:rPr>
                <w:rFonts w:ascii="Arial" w:eastAsia="宋体" w:hAnsi="Arial" w:cs="Arial"/>
              </w:rPr>
              <w:t>2030</w:t>
            </w:r>
            <w:r w:rsidRPr="00FE04C1">
              <w:rPr>
                <w:rFonts w:ascii="Arial" w:eastAsia="宋体" w:hAnsi="Arial" w:cs="Arial" w:hint="eastAsia"/>
              </w:rPr>
              <w:t>年的</w:t>
            </w:r>
            <w:r w:rsidRPr="00FE04C1">
              <w:rPr>
                <w:rFonts w:ascii="Arial" w:eastAsia="宋体" w:hAnsi="Arial" w:cs="Arial"/>
              </w:rPr>
              <w:t>4800</w:t>
            </w:r>
            <w:r w:rsidRPr="00FE04C1">
              <w:rPr>
                <w:rFonts w:ascii="Arial" w:eastAsia="宋体" w:hAnsi="Arial" w:cs="Arial" w:hint="eastAsia"/>
              </w:rPr>
              <w:t>万台，年复合增长率为</w:t>
            </w:r>
            <w:r w:rsidRPr="00FE04C1">
              <w:rPr>
                <w:rFonts w:ascii="Arial" w:eastAsia="宋体" w:hAnsi="Arial" w:cs="Arial"/>
              </w:rPr>
              <w:t>37%</w:t>
            </w:r>
            <w:r w:rsidRPr="00FE04C1">
              <w:rPr>
                <w:rFonts w:ascii="Arial" w:eastAsia="宋体" w:hAnsi="Arial" w:cs="Arial" w:hint="eastAsia"/>
              </w:rPr>
              <w:t>。与之相对应的，美国的充电桩市场规模将从</w:t>
            </w:r>
            <w:r w:rsidRPr="00FE04C1">
              <w:rPr>
                <w:rFonts w:ascii="Arial" w:eastAsia="宋体" w:hAnsi="Arial" w:cs="Arial"/>
              </w:rPr>
              <w:t>150</w:t>
            </w:r>
            <w:r w:rsidRPr="00FE04C1">
              <w:rPr>
                <w:rFonts w:ascii="Arial" w:eastAsia="宋体" w:hAnsi="Arial" w:cs="Arial" w:hint="eastAsia"/>
              </w:rPr>
              <w:t>万个，增长到</w:t>
            </w:r>
            <w:r w:rsidRPr="00FE04C1">
              <w:rPr>
                <w:rFonts w:ascii="Arial" w:eastAsia="宋体" w:hAnsi="Arial" w:cs="Arial"/>
              </w:rPr>
              <w:t>2030</w:t>
            </w:r>
            <w:r w:rsidRPr="00FE04C1">
              <w:rPr>
                <w:rFonts w:ascii="Arial" w:eastAsia="宋体" w:hAnsi="Arial" w:cs="Arial" w:hint="eastAsia"/>
              </w:rPr>
              <w:t>年的</w:t>
            </w:r>
            <w:r w:rsidRPr="00FE04C1">
              <w:rPr>
                <w:rFonts w:ascii="Arial" w:eastAsia="宋体" w:hAnsi="Arial" w:cs="Arial"/>
              </w:rPr>
              <w:t>2900</w:t>
            </w:r>
            <w:r w:rsidRPr="00FE04C1">
              <w:rPr>
                <w:rFonts w:ascii="Arial" w:eastAsia="宋体" w:hAnsi="Arial" w:cs="Arial" w:hint="eastAsia"/>
              </w:rPr>
              <w:t>万个，年复合增长率为</w:t>
            </w:r>
            <w:r w:rsidRPr="00FE04C1">
              <w:rPr>
                <w:rFonts w:ascii="Arial" w:eastAsia="宋体" w:hAnsi="Arial" w:cs="Arial"/>
              </w:rPr>
              <w:t>39%</w:t>
            </w:r>
            <w:r w:rsidRPr="00FE04C1">
              <w:rPr>
                <w:rFonts w:ascii="Arial" w:eastAsia="宋体" w:hAnsi="Arial" w:cs="Arial" w:hint="eastAsia"/>
              </w:rPr>
              <w:t>。所对应的累计投资规模（含硬件投资与场地安装投资），到</w:t>
            </w:r>
            <w:r w:rsidRPr="00FE04C1">
              <w:rPr>
                <w:rFonts w:ascii="Arial" w:eastAsia="宋体" w:hAnsi="Arial" w:cs="Arial"/>
              </w:rPr>
              <w:t>2030</w:t>
            </w:r>
            <w:r w:rsidRPr="00FE04C1">
              <w:rPr>
                <w:rFonts w:ascii="Arial" w:eastAsia="宋体" w:hAnsi="Arial" w:cs="Arial" w:hint="eastAsia"/>
              </w:rPr>
              <w:t>年将达到</w:t>
            </w:r>
            <w:r w:rsidRPr="00FE04C1">
              <w:rPr>
                <w:rFonts w:ascii="Arial" w:eastAsia="宋体" w:hAnsi="Arial" w:cs="Arial"/>
              </w:rPr>
              <w:t>970</w:t>
            </w:r>
            <w:r w:rsidRPr="00FE04C1">
              <w:rPr>
                <w:rFonts w:ascii="Arial" w:eastAsia="宋体" w:hAnsi="Arial" w:cs="Arial" w:hint="eastAsia"/>
              </w:rPr>
              <w:t>亿美元。</w:t>
            </w:r>
          </w:p>
          <w:p w14:paraId="6362CB0A" w14:textId="51CC5903" w:rsidR="00FE04C1" w:rsidRDefault="00FE04C1" w:rsidP="00FE04C1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 w:rsidRPr="00FE04C1">
              <w:rPr>
                <w:rFonts w:ascii="Arial" w:eastAsia="宋体" w:hAnsi="Arial" w:cs="Arial" w:hint="eastAsia"/>
              </w:rPr>
              <w:t>根据安永的预测，欧洲的新能源汽车在</w:t>
            </w:r>
            <w:r w:rsidRPr="00FE04C1">
              <w:rPr>
                <w:rFonts w:ascii="Arial" w:eastAsia="宋体" w:hAnsi="Arial" w:cs="Arial"/>
              </w:rPr>
              <w:t>2030</w:t>
            </w:r>
            <w:r w:rsidRPr="00FE04C1">
              <w:rPr>
                <w:rFonts w:ascii="Arial" w:eastAsia="宋体" w:hAnsi="Arial" w:cs="Arial" w:hint="eastAsia"/>
              </w:rPr>
              <w:t>年将达到</w:t>
            </w:r>
            <w:r w:rsidRPr="00FE04C1">
              <w:rPr>
                <w:rFonts w:ascii="Arial" w:eastAsia="宋体" w:hAnsi="Arial" w:cs="Arial"/>
              </w:rPr>
              <w:t>6500</w:t>
            </w:r>
            <w:r w:rsidRPr="00FE04C1">
              <w:rPr>
                <w:rFonts w:ascii="Arial" w:eastAsia="宋体" w:hAnsi="Arial" w:cs="Arial" w:hint="eastAsia"/>
              </w:rPr>
              <w:t>万辆，将需要</w:t>
            </w:r>
            <w:r w:rsidRPr="00FE04C1">
              <w:rPr>
                <w:rFonts w:ascii="Arial" w:eastAsia="宋体" w:hAnsi="Arial" w:cs="Arial"/>
              </w:rPr>
              <w:t>3400</w:t>
            </w:r>
            <w:r w:rsidRPr="00FE04C1">
              <w:rPr>
                <w:rFonts w:ascii="Arial" w:eastAsia="宋体" w:hAnsi="Arial" w:cs="Arial" w:hint="eastAsia"/>
              </w:rPr>
              <w:t>万个充电桩，其中公共充电桩为</w:t>
            </w:r>
            <w:r w:rsidRPr="00FE04C1">
              <w:rPr>
                <w:rFonts w:ascii="Arial" w:eastAsia="宋体" w:hAnsi="Arial" w:cs="Arial"/>
              </w:rPr>
              <w:t>320</w:t>
            </w:r>
            <w:r w:rsidRPr="00FE04C1">
              <w:rPr>
                <w:rFonts w:ascii="Arial" w:eastAsia="宋体" w:hAnsi="Arial" w:cs="Arial" w:hint="eastAsia"/>
              </w:rPr>
              <w:t>万个（公共快充</w:t>
            </w:r>
            <w:r w:rsidRPr="00FE04C1">
              <w:rPr>
                <w:rFonts w:ascii="Arial" w:eastAsia="宋体" w:hAnsi="Arial" w:cs="Arial"/>
              </w:rPr>
              <w:t>15.6</w:t>
            </w:r>
            <w:r w:rsidRPr="00FE04C1">
              <w:rPr>
                <w:rFonts w:ascii="Arial" w:eastAsia="宋体" w:hAnsi="Arial" w:cs="Arial" w:hint="eastAsia"/>
              </w:rPr>
              <w:t>万个，慢充</w:t>
            </w:r>
            <w:r w:rsidRPr="00FE04C1">
              <w:rPr>
                <w:rFonts w:ascii="Arial" w:eastAsia="宋体" w:hAnsi="Arial" w:cs="Arial"/>
              </w:rPr>
              <w:t>300</w:t>
            </w:r>
            <w:r w:rsidRPr="00FE04C1">
              <w:rPr>
                <w:rFonts w:ascii="Arial" w:eastAsia="宋体" w:hAnsi="Arial" w:cs="Arial" w:hint="eastAsia"/>
              </w:rPr>
              <w:t>万个），非公共充电桩为</w:t>
            </w:r>
            <w:r w:rsidRPr="00FE04C1">
              <w:rPr>
                <w:rFonts w:ascii="Arial" w:eastAsia="宋体" w:hAnsi="Arial" w:cs="Arial"/>
              </w:rPr>
              <w:t>3000</w:t>
            </w:r>
            <w:r w:rsidRPr="00FE04C1">
              <w:rPr>
                <w:rFonts w:ascii="Arial" w:eastAsia="宋体" w:hAnsi="Arial" w:cs="Arial" w:hint="eastAsia"/>
              </w:rPr>
              <w:t>万个（非公共快充</w:t>
            </w:r>
            <w:r w:rsidRPr="00FE04C1">
              <w:rPr>
                <w:rFonts w:ascii="Arial" w:eastAsia="宋体" w:hAnsi="Arial" w:cs="Arial"/>
              </w:rPr>
              <w:t>25.9</w:t>
            </w:r>
            <w:r w:rsidRPr="00FE04C1">
              <w:rPr>
                <w:rFonts w:ascii="Arial" w:eastAsia="宋体" w:hAnsi="Arial" w:cs="Arial" w:hint="eastAsia"/>
              </w:rPr>
              <w:t>万个，慢充</w:t>
            </w:r>
            <w:r w:rsidRPr="00FE04C1">
              <w:rPr>
                <w:rFonts w:ascii="Arial" w:eastAsia="宋体" w:hAnsi="Arial" w:cs="Arial"/>
              </w:rPr>
              <w:t>3000</w:t>
            </w:r>
            <w:r w:rsidRPr="00FE04C1">
              <w:rPr>
                <w:rFonts w:ascii="Arial" w:eastAsia="宋体" w:hAnsi="Arial" w:cs="Arial" w:hint="eastAsia"/>
              </w:rPr>
              <w:t>万个）。</w:t>
            </w:r>
          </w:p>
          <w:p w14:paraId="71D8A6B5" w14:textId="733A0C69" w:rsidR="00FE04C1" w:rsidRPr="0056550B" w:rsidRDefault="00FE04C1" w:rsidP="00FE04C1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 w:rsidRPr="00FE04C1">
              <w:rPr>
                <w:rFonts w:ascii="Arial" w:eastAsia="宋体" w:hAnsi="Arial" w:cs="Arial" w:hint="eastAsia"/>
              </w:rPr>
              <w:t>未来，随着全球多个国家和地区相关政策的支持、配套基础设施的完善及消费者对新能源汽车接受程度的提高，新能源汽车渗透率仍有较大提升空间。新能源汽车的快速普及无疑将推动充电基础设施建设的爆发式增长，无论是从未来市场空间还是从需求现状来看，全球都将迎来新能源充电解决方案的巨大发展机遇。</w:t>
            </w:r>
          </w:p>
          <w:p w14:paraId="5358195C" w14:textId="7DC115D8" w:rsidR="009D05DD" w:rsidRDefault="009D05DD" w:rsidP="006106FB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</w:p>
          <w:p w14:paraId="275A81B8" w14:textId="2E01267E" w:rsidR="0067176F" w:rsidRPr="00777F8A" w:rsidRDefault="0067176F" w:rsidP="0067176F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  <w:r w:rsidRPr="00774DC6">
              <w:rPr>
                <w:rFonts w:ascii="Arial" w:eastAsia="宋体" w:hAnsi="Arial" w:cs="Arial"/>
                <w:b/>
                <w:bCs/>
              </w:rPr>
              <w:t>问题</w:t>
            </w:r>
            <w:r>
              <w:rPr>
                <w:rFonts w:ascii="Arial" w:eastAsia="宋体" w:hAnsi="Arial" w:cs="Arial" w:hint="eastAsia"/>
                <w:b/>
                <w:bCs/>
              </w:rPr>
              <w:t>二</w:t>
            </w:r>
            <w:r w:rsidRPr="00774DC6">
              <w:rPr>
                <w:rFonts w:ascii="Arial" w:eastAsia="宋体" w:hAnsi="Arial" w:cs="Arial"/>
                <w:b/>
                <w:bCs/>
              </w:rPr>
              <w:t>：</w:t>
            </w:r>
            <w:r w:rsidR="00B91A80">
              <w:rPr>
                <w:rFonts w:ascii="Arial" w:eastAsia="宋体" w:hAnsi="Arial" w:cs="Arial" w:hint="eastAsia"/>
                <w:b/>
                <w:bCs/>
              </w:rPr>
              <w:t>公司充电桩产品有哪些优势？</w:t>
            </w:r>
          </w:p>
          <w:p w14:paraId="13A30D3E" w14:textId="51B7B129" w:rsidR="006900FA" w:rsidRDefault="00CF55C0" w:rsidP="0067176F">
            <w:pPr>
              <w:pStyle w:val="af5"/>
              <w:ind w:firstLine="480"/>
              <w:jc w:val="both"/>
              <w:rPr>
                <w:rFonts w:ascii="Arial" w:eastAsia="宋体" w:hAnsi="Arial" w:cs="Arial"/>
                <w:szCs w:val="28"/>
              </w:rPr>
            </w:pPr>
            <w:r w:rsidRPr="00802D9C">
              <w:rPr>
                <w:rFonts w:ascii="Arial" w:eastAsia="宋体" w:hAnsi="Arial" w:cs="Arial" w:hint="eastAsia"/>
                <w:szCs w:val="28"/>
              </w:rPr>
              <w:lastRenderedPageBreak/>
              <w:t>1</w:t>
            </w:r>
            <w:r w:rsidR="006900FA">
              <w:rPr>
                <w:rFonts w:ascii="Arial" w:eastAsia="宋体" w:hAnsi="Arial" w:cs="Arial" w:hint="eastAsia"/>
                <w:szCs w:val="28"/>
              </w:rPr>
              <w:t>、</w:t>
            </w:r>
            <w:r w:rsidRPr="00802D9C">
              <w:rPr>
                <w:rFonts w:ascii="Arial" w:eastAsia="宋体" w:hAnsi="Arial" w:cs="Arial" w:hint="eastAsia"/>
                <w:szCs w:val="28"/>
              </w:rPr>
              <w:t>产品优势：公司的交流桩产品包括</w:t>
            </w:r>
            <w:r w:rsidRPr="00802D9C">
              <w:rPr>
                <w:rFonts w:ascii="Arial" w:eastAsia="宋体" w:hAnsi="Arial" w:cs="Arial"/>
                <w:szCs w:val="28"/>
              </w:rPr>
              <w:t>7kW-22kW</w:t>
            </w:r>
            <w:r w:rsidRPr="00802D9C">
              <w:rPr>
                <w:rFonts w:ascii="Arial" w:eastAsia="宋体" w:hAnsi="Arial" w:cs="Arial"/>
                <w:szCs w:val="28"/>
              </w:rPr>
              <w:t>的欧标、美标</w:t>
            </w:r>
            <w:r w:rsidRPr="00802D9C">
              <w:rPr>
                <w:rFonts w:ascii="Arial" w:eastAsia="宋体" w:hAnsi="Arial" w:cs="Arial" w:hint="eastAsia"/>
                <w:szCs w:val="28"/>
              </w:rPr>
              <w:t>产品，直流桩产品包括</w:t>
            </w:r>
            <w:r w:rsidRPr="00802D9C">
              <w:rPr>
                <w:rFonts w:ascii="Arial" w:eastAsia="宋体" w:hAnsi="Arial" w:cs="Arial"/>
                <w:szCs w:val="28"/>
              </w:rPr>
              <w:t>40kW-640kW</w:t>
            </w:r>
            <w:r w:rsidRPr="00802D9C">
              <w:rPr>
                <w:rFonts w:ascii="Arial" w:eastAsia="宋体" w:hAnsi="Arial" w:cs="Arial"/>
                <w:szCs w:val="28"/>
              </w:rPr>
              <w:t>的欧标、美标直流桩、超充桩</w:t>
            </w:r>
            <w:r w:rsidRPr="00802D9C">
              <w:rPr>
                <w:rFonts w:ascii="Arial" w:eastAsia="宋体" w:hAnsi="Arial" w:cs="Arial" w:hint="eastAsia"/>
                <w:szCs w:val="28"/>
              </w:rPr>
              <w:t>，已形成了丰富的产品矩阵，可覆盖各类充电应用场景以满足客户多样化的需求。</w:t>
            </w:r>
            <w:r w:rsidR="00FE04C1" w:rsidRPr="00FE04C1">
              <w:rPr>
                <w:rFonts w:ascii="Arial" w:eastAsia="宋体" w:hAnsi="Arial" w:cs="Arial" w:hint="eastAsia"/>
                <w:szCs w:val="28"/>
              </w:rPr>
              <w:t>基于汽车通信领域的技术积累，</w:t>
            </w:r>
            <w:r w:rsidR="003A020F">
              <w:rPr>
                <w:rFonts w:ascii="Arial" w:eastAsia="宋体" w:hAnsi="Arial" w:cs="Arial" w:hint="eastAsia"/>
                <w:szCs w:val="28"/>
              </w:rPr>
              <w:t>公司</w:t>
            </w:r>
            <w:r w:rsidR="00FE04C1" w:rsidRPr="00FE04C1">
              <w:rPr>
                <w:rFonts w:ascii="Arial" w:eastAsia="宋体" w:hAnsi="Arial" w:cs="Arial" w:hint="eastAsia"/>
                <w:szCs w:val="28"/>
              </w:rPr>
              <w:t>针对性开发车桩通信仿真平台，依托于覆盖全球的实车测试资源，</w:t>
            </w:r>
            <w:r w:rsidR="00FE04C1">
              <w:rPr>
                <w:rFonts w:ascii="Arial" w:eastAsia="宋体" w:hAnsi="Arial" w:cs="Arial" w:hint="eastAsia"/>
                <w:szCs w:val="28"/>
              </w:rPr>
              <w:t>车桩兼容性高，</w:t>
            </w:r>
            <w:r w:rsidR="00FE04C1" w:rsidRPr="00FE04C1">
              <w:rPr>
                <w:rFonts w:ascii="Arial" w:eastAsia="宋体" w:hAnsi="Arial" w:cs="Arial" w:hint="eastAsia"/>
                <w:szCs w:val="28"/>
              </w:rPr>
              <w:t>实现一次充电成功率大于</w:t>
            </w:r>
            <w:r w:rsidR="00FE04C1" w:rsidRPr="00FE04C1">
              <w:rPr>
                <w:rFonts w:ascii="Arial" w:eastAsia="宋体" w:hAnsi="Arial" w:cs="Arial"/>
                <w:szCs w:val="28"/>
              </w:rPr>
              <w:t>99%</w:t>
            </w:r>
            <w:r w:rsidR="00FE04C1">
              <w:rPr>
                <w:rFonts w:ascii="Arial" w:eastAsia="宋体" w:hAnsi="Arial" w:cs="Arial" w:hint="eastAsia"/>
                <w:szCs w:val="28"/>
              </w:rPr>
              <w:t>。</w:t>
            </w:r>
          </w:p>
          <w:p w14:paraId="449FBE6F" w14:textId="2AD2FDC6" w:rsidR="006900FA" w:rsidRDefault="00CF55C0" w:rsidP="0067176F">
            <w:pPr>
              <w:pStyle w:val="af5"/>
              <w:ind w:firstLine="480"/>
              <w:jc w:val="both"/>
              <w:rPr>
                <w:rFonts w:ascii="Arial" w:eastAsia="宋体" w:hAnsi="Arial" w:cs="Arial"/>
                <w:szCs w:val="28"/>
              </w:rPr>
            </w:pPr>
            <w:r w:rsidRPr="00802D9C">
              <w:rPr>
                <w:rFonts w:ascii="Arial" w:eastAsia="宋体" w:hAnsi="Arial" w:cs="Arial" w:hint="eastAsia"/>
                <w:szCs w:val="28"/>
              </w:rPr>
              <w:t>2</w:t>
            </w:r>
            <w:r w:rsidR="006900FA">
              <w:rPr>
                <w:rFonts w:ascii="Arial" w:eastAsia="宋体" w:hAnsi="Arial" w:cs="Arial" w:hint="eastAsia"/>
                <w:szCs w:val="28"/>
              </w:rPr>
              <w:t>、全场景解决方案</w:t>
            </w:r>
            <w:r w:rsidRPr="00802D9C">
              <w:rPr>
                <w:rFonts w:ascii="Arial" w:eastAsia="宋体" w:hAnsi="Arial" w:cs="Arial" w:hint="eastAsia"/>
                <w:szCs w:val="28"/>
              </w:rPr>
              <w:t>优势：公司持续</w:t>
            </w:r>
            <w:r w:rsidR="00AD516B">
              <w:rPr>
                <w:rFonts w:ascii="Arial" w:eastAsia="宋体" w:hAnsi="Arial" w:cs="Arial" w:hint="eastAsia"/>
                <w:szCs w:val="28"/>
              </w:rPr>
              <w:t>加大对数字能源业务的战略投入，</w:t>
            </w:r>
            <w:r w:rsidRPr="00802D9C">
              <w:rPr>
                <w:rFonts w:ascii="Arial" w:eastAsia="宋体" w:hAnsi="Arial" w:cs="Arial" w:hint="eastAsia"/>
                <w:szCs w:val="28"/>
              </w:rPr>
              <w:t>开发道通充电云平台相关功能，</w:t>
            </w:r>
            <w:r w:rsidR="00AD516B">
              <w:rPr>
                <w:rFonts w:ascii="Arial" w:eastAsia="宋体" w:hAnsi="Arial" w:cs="Arial" w:hint="eastAsia"/>
                <w:szCs w:val="28"/>
              </w:rPr>
              <w:t>已</w:t>
            </w:r>
            <w:r w:rsidRPr="00802D9C">
              <w:rPr>
                <w:rFonts w:ascii="Arial" w:eastAsia="宋体" w:hAnsi="Arial" w:cs="Arial" w:hint="eastAsia"/>
                <w:szCs w:val="28"/>
              </w:rPr>
              <w:t>推出了充电运营管理平台、充电桩运维管理平台、充电桩</w:t>
            </w:r>
            <w:r w:rsidRPr="00802D9C">
              <w:rPr>
                <w:rFonts w:ascii="Arial" w:eastAsia="宋体" w:hAnsi="Arial" w:cs="Arial"/>
                <w:szCs w:val="28"/>
              </w:rPr>
              <w:t>App</w:t>
            </w:r>
            <w:r w:rsidRPr="00802D9C">
              <w:rPr>
                <w:rFonts w:ascii="Arial" w:eastAsia="宋体" w:hAnsi="Arial" w:cs="Arial"/>
                <w:szCs w:val="28"/>
              </w:rPr>
              <w:t>应用三大产品，为客户</w:t>
            </w:r>
            <w:r w:rsidR="006900FA" w:rsidRPr="006900FA">
              <w:rPr>
                <w:rFonts w:ascii="Arial" w:eastAsia="宋体" w:hAnsi="Arial" w:cs="Arial" w:hint="eastAsia"/>
                <w:szCs w:val="28"/>
              </w:rPr>
              <w:t>打造覆盖全场景的能源管理解决方案，构筑智能充电网路，建立高效敏捷的服务系统，构筑整体系统性竞争优势</w:t>
            </w:r>
            <w:r w:rsidRPr="00802D9C">
              <w:rPr>
                <w:rFonts w:ascii="Arial" w:eastAsia="宋体" w:hAnsi="Arial" w:cs="Arial"/>
                <w:szCs w:val="28"/>
              </w:rPr>
              <w:t>。</w:t>
            </w:r>
          </w:p>
          <w:p w14:paraId="562F2D36" w14:textId="7B5E58F6" w:rsidR="0067176F" w:rsidRDefault="00CF55C0" w:rsidP="0067176F">
            <w:pPr>
              <w:pStyle w:val="af5"/>
              <w:ind w:firstLine="480"/>
              <w:jc w:val="both"/>
              <w:rPr>
                <w:rFonts w:ascii="Arial" w:eastAsia="宋体" w:hAnsi="Arial" w:cs="Arial"/>
                <w:szCs w:val="28"/>
              </w:rPr>
            </w:pPr>
            <w:r w:rsidRPr="00802D9C">
              <w:rPr>
                <w:rFonts w:ascii="Arial" w:eastAsia="宋体" w:hAnsi="Arial" w:cs="Arial" w:hint="eastAsia"/>
                <w:szCs w:val="28"/>
              </w:rPr>
              <w:t>3</w:t>
            </w:r>
            <w:r w:rsidR="006900FA">
              <w:rPr>
                <w:rFonts w:ascii="Arial" w:eastAsia="宋体" w:hAnsi="Arial" w:cs="Arial" w:hint="eastAsia"/>
                <w:szCs w:val="28"/>
              </w:rPr>
              <w:t>、本地化服务</w:t>
            </w:r>
            <w:r w:rsidRPr="00802D9C">
              <w:rPr>
                <w:rFonts w:ascii="Arial" w:eastAsia="宋体" w:hAnsi="Arial" w:cs="Arial" w:hint="eastAsia"/>
                <w:szCs w:val="28"/>
              </w:rPr>
              <w:t>优势：经过多年发展与布局，公司已在全球主要销售区域设立了销售子公司，销售网络已覆盖北美、欧洲、中国、亚太、南美、</w:t>
            </w:r>
            <w:r w:rsidRPr="00802D9C">
              <w:rPr>
                <w:rFonts w:ascii="Arial" w:eastAsia="宋体" w:hAnsi="Arial" w:cs="Arial"/>
                <w:szCs w:val="28"/>
              </w:rPr>
              <w:t>IMEA</w:t>
            </w:r>
            <w:r w:rsidRPr="00802D9C">
              <w:rPr>
                <w:rFonts w:ascii="Arial" w:eastAsia="宋体" w:hAnsi="Arial" w:cs="Arial"/>
                <w:szCs w:val="28"/>
              </w:rPr>
              <w:t>（印度、中东、非洲）等全球</w:t>
            </w:r>
            <w:r w:rsidRPr="00802D9C">
              <w:rPr>
                <w:rFonts w:ascii="Arial" w:eastAsia="宋体" w:hAnsi="Arial" w:cs="Arial"/>
                <w:szCs w:val="28"/>
              </w:rPr>
              <w:t>70</w:t>
            </w:r>
            <w:r w:rsidRPr="00802D9C">
              <w:rPr>
                <w:rFonts w:ascii="Arial" w:eastAsia="宋体" w:hAnsi="Arial" w:cs="Arial"/>
                <w:szCs w:val="28"/>
              </w:rPr>
              <w:t>多个国家或地区，</w:t>
            </w:r>
            <w:r w:rsidRPr="00802D9C">
              <w:rPr>
                <w:rFonts w:ascii="Arial" w:eastAsia="宋体" w:hAnsi="Arial" w:cs="Arial" w:hint="eastAsia"/>
                <w:szCs w:val="28"/>
              </w:rPr>
              <w:t>公司突破地域及语言、文化带来的局限，为客户提供优质的本地化的售后服务，建立起专业系统化的营销体系，获得客户的广泛认可。</w:t>
            </w:r>
          </w:p>
          <w:p w14:paraId="6D87D2DF" w14:textId="78692173" w:rsidR="00AD516B" w:rsidRPr="00777F8A" w:rsidRDefault="00AD516B" w:rsidP="0067176F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  <w:szCs w:val="28"/>
              </w:rPr>
              <w:t>4</w:t>
            </w:r>
            <w:r>
              <w:rPr>
                <w:rFonts w:ascii="Arial" w:eastAsia="宋体" w:hAnsi="Arial" w:cs="Arial" w:hint="eastAsia"/>
                <w:szCs w:val="28"/>
              </w:rPr>
              <w:t>、全球产能优势：</w:t>
            </w:r>
            <w:r w:rsidRPr="00AD516B">
              <w:rPr>
                <w:rFonts w:ascii="Arial" w:eastAsia="宋体" w:hAnsi="Arial" w:cs="Arial" w:hint="eastAsia"/>
                <w:szCs w:val="28"/>
              </w:rPr>
              <w:t>公司深刻洞察到近年来国际贸易紧张局势的不断升级，</w:t>
            </w:r>
            <w:r>
              <w:rPr>
                <w:rFonts w:ascii="Arial" w:eastAsia="宋体" w:hAnsi="Arial" w:cs="Arial" w:hint="eastAsia"/>
                <w:szCs w:val="28"/>
              </w:rPr>
              <w:t>并已完成全球产能的战略布局。</w:t>
            </w:r>
            <w:r>
              <w:rPr>
                <w:rFonts w:ascii="Arial" w:eastAsia="宋体" w:hAnsi="Arial" w:cs="Arial" w:hint="eastAsia"/>
                <w:szCs w:val="28"/>
              </w:rPr>
              <w:t>2</w:t>
            </w:r>
            <w:r>
              <w:rPr>
                <w:rFonts w:ascii="Arial" w:eastAsia="宋体" w:hAnsi="Arial" w:cs="Arial"/>
                <w:szCs w:val="28"/>
              </w:rPr>
              <w:t>023</w:t>
            </w:r>
            <w:r>
              <w:rPr>
                <w:rFonts w:ascii="Arial" w:eastAsia="宋体" w:hAnsi="Arial" w:cs="Arial" w:hint="eastAsia"/>
                <w:szCs w:val="28"/>
              </w:rPr>
              <w:t>年下半年，公司越南工厂新增直流桩产能，</w:t>
            </w:r>
            <w:r w:rsidRPr="00AD516B">
              <w:rPr>
                <w:rFonts w:ascii="Arial" w:eastAsia="宋体" w:hAnsi="Arial" w:cs="Arial" w:hint="eastAsia"/>
                <w:szCs w:val="28"/>
              </w:rPr>
              <w:t>进一步巩固了公司在成本竞争中的领先地位</w:t>
            </w:r>
            <w:r>
              <w:rPr>
                <w:rFonts w:ascii="Arial" w:eastAsia="宋体" w:hAnsi="Arial" w:cs="Arial" w:hint="eastAsia"/>
                <w:szCs w:val="28"/>
              </w:rPr>
              <w:t>。</w:t>
            </w:r>
            <w:r>
              <w:rPr>
                <w:rFonts w:ascii="Arial" w:eastAsia="宋体" w:hAnsi="Arial" w:cs="Arial" w:hint="eastAsia"/>
                <w:szCs w:val="28"/>
              </w:rPr>
              <w:t>2</w:t>
            </w:r>
            <w:r>
              <w:rPr>
                <w:rFonts w:ascii="Arial" w:eastAsia="宋体" w:hAnsi="Arial" w:cs="Arial"/>
                <w:szCs w:val="28"/>
              </w:rPr>
              <w:t>023</w:t>
            </w:r>
            <w:r>
              <w:rPr>
                <w:rFonts w:ascii="Arial" w:eastAsia="宋体" w:hAnsi="Arial" w:cs="Arial" w:hint="eastAsia"/>
                <w:szCs w:val="28"/>
              </w:rPr>
              <w:t>年底，公司美国北卡工厂正式</w:t>
            </w:r>
            <w:r w:rsidR="004105E0">
              <w:rPr>
                <w:rFonts w:ascii="Arial" w:eastAsia="宋体" w:hAnsi="Arial" w:cs="Arial" w:hint="eastAsia"/>
                <w:szCs w:val="28"/>
              </w:rPr>
              <w:t>建成</w:t>
            </w:r>
            <w:r>
              <w:rPr>
                <w:rFonts w:ascii="Arial" w:eastAsia="宋体" w:hAnsi="Arial" w:cs="Arial" w:hint="eastAsia"/>
                <w:szCs w:val="28"/>
              </w:rPr>
              <w:t>投产，公司成为满足</w:t>
            </w:r>
            <w:r w:rsidRPr="00AD516B">
              <w:rPr>
                <w:rFonts w:ascii="Arial" w:eastAsia="宋体" w:hAnsi="Arial" w:cs="Arial" w:hint="eastAsia"/>
                <w:szCs w:val="28"/>
              </w:rPr>
              <w:t>美国</w:t>
            </w:r>
            <w:r w:rsidRPr="00AD516B">
              <w:rPr>
                <w:rFonts w:ascii="Arial" w:eastAsia="宋体" w:hAnsi="Arial" w:cs="Arial"/>
                <w:szCs w:val="28"/>
              </w:rPr>
              <w:t xml:space="preserve"> NEVI</w:t>
            </w:r>
            <w:r w:rsidRPr="00AD516B">
              <w:rPr>
                <w:rFonts w:ascii="Arial" w:eastAsia="宋体" w:hAnsi="Arial" w:cs="Arial" w:hint="eastAsia"/>
                <w:szCs w:val="28"/>
              </w:rPr>
              <w:t>、</w:t>
            </w:r>
            <w:r w:rsidRPr="00AD516B">
              <w:rPr>
                <w:rFonts w:ascii="Arial" w:eastAsia="宋体" w:hAnsi="Arial" w:cs="Arial"/>
                <w:szCs w:val="28"/>
              </w:rPr>
              <w:t xml:space="preserve">BABA </w:t>
            </w:r>
            <w:r w:rsidRPr="00AD516B">
              <w:rPr>
                <w:rFonts w:ascii="Arial" w:eastAsia="宋体" w:hAnsi="Arial" w:cs="Arial" w:hint="eastAsia"/>
                <w:szCs w:val="28"/>
              </w:rPr>
              <w:t>法案要求的新能源公司</w:t>
            </w:r>
            <w:r>
              <w:rPr>
                <w:rFonts w:ascii="Arial" w:eastAsia="宋体" w:hAnsi="Arial" w:cs="Arial" w:hint="eastAsia"/>
                <w:szCs w:val="28"/>
              </w:rPr>
              <w:t>。全球化的产能布局为</w:t>
            </w:r>
            <w:r w:rsidR="002855D0">
              <w:rPr>
                <w:rFonts w:ascii="Arial" w:eastAsia="宋体" w:hAnsi="Arial" w:cs="Arial" w:hint="eastAsia"/>
                <w:szCs w:val="28"/>
              </w:rPr>
              <w:t>公司</w:t>
            </w:r>
            <w:r w:rsidRPr="00AD516B">
              <w:rPr>
                <w:rFonts w:ascii="Arial" w:eastAsia="宋体" w:hAnsi="Arial" w:cs="Arial" w:hint="eastAsia"/>
                <w:szCs w:val="28"/>
              </w:rPr>
              <w:t>供应链稳定性</w:t>
            </w:r>
            <w:r w:rsidR="002855D0">
              <w:rPr>
                <w:rFonts w:ascii="Arial" w:eastAsia="宋体" w:hAnsi="Arial" w:cs="Arial" w:hint="eastAsia"/>
                <w:szCs w:val="28"/>
              </w:rPr>
              <w:t>、</w:t>
            </w:r>
            <w:r w:rsidRPr="00AD516B">
              <w:rPr>
                <w:rFonts w:ascii="Arial" w:eastAsia="宋体" w:hAnsi="Arial" w:cs="Arial" w:hint="eastAsia"/>
                <w:szCs w:val="28"/>
              </w:rPr>
              <w:t>成本效率</w:t>
            </w:r>
            <w:r w:rsidR="002855D0">
              <w:rPr>
                <w:rFonts w:ascii="Arial" w:eastAsia="宋体" w:hAnsi="Arial" w:cs="Arial" w:hint="eastAsia"/>
                <w:szCs w:val="28"/>
              </w:rPr>
              <w:t>最优化</w:t>
            </w:r>
            <w:r>
              <w:rPr>
                <w:rFonts w:ascii="Arial" w:eastAsia="宋体" w:hAnsi="Arial" w:cs="Arial" w:hint="eastAsia"/>
                <w:szCs w:val="28"/>
              </w:rPr>
              <w:t>提供了有力的保障。</w:t>
            </w:r>
          </w:p>
          <w:p w14:paraId="736FE96A" w14:textId="77777777" w:rsidR="0067176F" w:rsidRPr="0067176F" w:rsidRDefault="0067176F" w:rsidP="006106FB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</w:p>
          <w:p w14:paraId="2FEECA55" w14:textId="258BD10E" w:rsidR="009D05DD" w:rsidRPr="00777F8A" w:rsidRDefault="009D05DD" w:rsidP="009D05DD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  <w:r w:rsidRPr="00774DC6">
              <w:rPr>
                <w:rFonts w:ascii="Arial" w:eastAsia="宋体" w:hAnsi="Arial" w:cs="Arial"/>
                <w:b/>
                <w:bCs/>
              </w:rPr>
              <w:t>问题</w:t>
            </w:r>
            <w:r w:rsidR="0067176F">
              <w:rPr>
                <w:rFonts w:ascii="Arial" w:eastAsia="宋体" w:hAnsi="Arial" w:cs="Arial" w:hint="eastAsia"/>
                <w:b/>
                <w:bCs/>
              </w:rPr>
              <w:t>三</w:t>
            </w:r>
            <w:r w:rsidRPr="00774DC6">
              <w:rPr>
                <w:rFonts w:ascii="Arial" w:eastAsia="宋体" w:hAnsi="Arial" w:cs="Arial"/>
                <w:b/>
                <w:bCs/>
              </w:rPr>
              <w:t>：</w:t>
            </w:r>
            <w:r w:rsidR="005C7526">
              <w:rPr>
                <w:rFonts w:ascii="Arial" w:eastAsia="宋体" w:hAnsi="Arial" w:cs="Arial" w:hint="eastAsia"/>
                <w:b/>
                <w:bCs/>
              </w:rPr>
              <w:t>公司充电桩业务</w:t>
            </w:r>
            <w:r w:rsidR="00EC5412">
              <w:rPr>
                <w:rFonts w:ascii="Arial" w:eastAsia="宋体" w:hAnsi="Arial" w:cs="Arial" w:hint="eastAsia"/>
                <w:b/>
                <w:bCs/>
              </w:rPr>
              <w:t>的产能布局？</w:t>
            </w:r>
          </w:p>
          <w:p w14:paraId="1FD3BF66" w14:textId="77777777" w:rsidR="00EC5412" w:rsidRDefault="00EC5412" w:rsidP="00EC5412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目前公司在深圳光明、越南海防、美国北卡布局了新能源充电桩的产能。其中针对美国市场，只有需要满足美国</w:t>
            </w:r>
            <w:r w:rsidRPr="009B2394">
              <w:rPr>
                <w:rFonts w:ascii="Arial" w:eastAsia="宋体" w:hAnsi="Arial" w:cs="Arial"/>
              </w:rPr>
              <w:t>NEVI</w:t>
            </w:r>
            <w:r w:rsidRPr="009B2394">
              <w:rPr>
                <w:rFonts w:ascii="Arial" w:eastAsia="宋体" w:hAnsi="Arial" w:cs="Arial" w:hint="eastAsia"/>
              </w:rPr>
              <w:t>、</w:t>
            </w:r>
            <w:r w:rsidRPr="009B2394">
              <w:rPr>
                <w:rFonts w:ascii="Arial" w:eastAsia="宋体" w:hAnsi="Arial" w:cs="Arial"/>
              </w:rPr>
              <w:t>BABA</w:t>
            </w:r>
            <w:r>
              <w:rPr>
                <w:rFonts w:ascii="Arial" w:eastAsia="宋体" w:hAnsi="Arial" w:cs="Arial" w:hint="eastAsia"/>
              </w:rPr>
              <w:t>法案的产品在美国生产，其余</w:t>
            </w:r>
            <w:r w:rsidRPr="009B2394">
              <w:rPr>
                <w:rFonts w:ascii="Arial" w:eastAsia="宋体" w:hAnsi="Arial" w:cs="Arial" w:hint="eastAsia"/>
              </w:rPr>
              <w:t>在越南生产</w:t>
            </w:r>
            <w:r>
              <w:rPr>
                <w:rFonts w:ascii="Arial" w:eastAsia="宋体" w:hAnsi="Arial" w:cs="Arial" w:hint="eastAsia"/>
              </w:rPr>
              <w:t>。针对其他地区市场，主要在深圳光明工厂生产。</w:t>
            </w:r>
          </w:p>
          <w:p w14:paraId="19625CFC" w14:textId="77777777" w:rsidR="00EC5412" w:rsidRPr="009B2394" w:rsidRDefault="00EC5412" w:rsidP="00EC5412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 w:rsidRPr="00154077">
              <w:rPr>
                <w:rFonts w:ascii="Arial" w:eastAsia="宋体" w:hAnsi="Arial" w:cs="Arial" w:hint="eastAsia"/>
              </w:rPr>
              <w:t>公司采取的生产模式是“以销定产”，即根据销售预测及订单数据制定生产计划并进行适量备货。公司目前的产能储备充分，若遇订单增长，可随时扩产应对。</w:t>
            </w:r>
          </w:p>
          <w:p w14:paraId="7D8D5259" w14:textId="42C59E01" w:rsidR="009C6D2E" w:rsidRPr="00EC5412" w:rsidRDefault="009C6D2E" w:rsidP="006106FB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</w:p>
          <w:p w14:paraId="10C7F423" w14:textId="20F6FD5E" w:rsidR="0047649E" w:rsidRPr="00777F8A" w:rsidRDefault="0047649E" w:rsidP="0047649E">
            <w:pPr>
              <w:pStyle w:val="af5"/>
              <w:ind w:firstLine="482"/>
              <w:jc w:val="both"/>
              <w:rPr>
                <w:rFonts w:ascii="Arial" w:eastAsia="宋体" w:hAnsi="Arial" w:cs="Arial"/>
              </w:rPr>
            </w:pPr>
            <w:r w:rsidRPr="00774DC6">
              <w:rPr>
                <w:rFonts w:ascii="Arial" w:eastAsia="宋体" w:hAnsi="Arial" w:cs="Arial"/>
                <w:b/>
                <w:bCs/>
              </w:rPr>
              <w:t>问题</w:t>
            </w:r>
            <w:r w:rsidR="0067176F">
              <w:rPr>
                <w:rFonts w:ascii="Arial" w:eastAsia="宋体" w:hAnsi="Arial" w:cs="Arial" w:hint="eastAsia"/>
                <w:b/>
                <w:bCs/>
              </w:rPr>
              <w:t>四</w:t>
            </w:r>
            <w:r w:rsidRPr="00774DC6">
              <w:rPr>
                <w:rFonts w:ascii="Arial" w:eastAsia="宋体" w:hAnsi="Arial" w:cs="Arial"/>
                <w:b/>
                <w:bCs/>
              </w:rPr>
              <w:t>：</w:t>
            </w:r>
            <w:r w:rsidR="00932B80">
              <w:rPr>
                <w:rFonts w:ascii="Arial" w:eastAsia="宋体" w:hAnsi="Arial" w:cs="Arial" w:hint="eastAsia"/>
                <w:b/>
                <w:bCs/>
              </w:rPr>
              <w:t>公司数字维修业务是否考虑拓展国内市场？</w:t>
            </w:r>
          </w:p>
          <w:p w14:paraId="576D4298" w14:textId="5F26D0AC" w:rsidR="00932B80" w:rsidRDefault="00932B80" w:rsidP="00932B80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lastRenderedPageBreak/>
              <w:t>从汽车后市场形态来看，海外</w:t>
            </w:r>
            <w:r w:rsidRPr="005F11A5">
              <w:rPr>
                <w:rFonts w:ascii="Arial" w:eastAsia="宋体" w:hAnsi="Arial" w:cs="Arial" w:hint="eastAsia"/>
              </w:rPr>
              <w:t>汽车市场起步较早、</w:t>
            </w:r>
            <w:r w:rsidRPr="00574470">
              <w:rPr>
                <w:rFonts w:ascii="Arial" w:eastAsia="宋体" w:hAnsi="Arial" w:cs="Arial" w:hint="eastAsia"/>
              </w:rPr>
              <w:t>汽车保有量大、车龄持续上升，完善的法规确定了严格的车载诊断系统，带动汽修业态整合及车辆电子化和智能化技术的提升，促使</w:t>
            </w:r>
            <w:r>
              <w:rPr>
                <w:rFonts w:ascii="Arial" w:eastAsia="宋体" w:hAnsi="Arial" w:cs="Arial" w:hint="eastAsia"/>
              </w:rPr>
              <w:t>美国、欧洲</w:t>
            </w:r>
            <w:r w:rsidRPr="00574470">
              <w:rPr>
                <w:rFonts w:ascii="Arial" w:eastAsia="宋体" w:hAnsi="Arial" w:cs="Arial" w:hint="eastAsia"/>
              </w:rPr>
              <w:t>地区汽车诊断分析产品市场的持续增长。</w:t>
            </w:r>
            <w:r>
              <w:rPr>
                <w:rFonts w:ascii="Arial" w:eastAsia="宋体" w:hAnsi="Arial" w:cs="Arial" w:hint="eastAsia"/>
              </w:rPr>
              <w:t>而</w:t>
            </w:r>
            <w:r w:rsidRPr="00574470">
              <w:rPr>
                <w:rFonts w:ascii="Arial" w:eastAsia="宋体" w:hAnsi="Arial" w:cs="Arial" w:hint="eastAsia"/>
              </w:rPr>
              <w:t>我国相关行业的整体发展及市场化水平仍较低，</w:t>
            </w:r>
            <w:r w:rsidRPr="00F4626A">
              <w:rPr>
                <w:rFonts w:ascii="Arial" w:eastAsia="宋体" w:hAnsi="Arial" w:cs="Arial" w:hint="eastAsia"/>
              </w:rPr>
              <w:t>国内</w:t>
            </w:r>
            <w:r>
              <w:rPr>
                <w:rFonts w:ascii="Arial" w:eastAsia="宋体" w:hAnsi="Arial" w:cs="Arial" w:hint="eastAsia"/>
              </w:rPr>
              <w:t>汽车后市场主要以</w:t>
            </w:r>
            <w:r w:rsidRPr="00F4626A">
              <w:rPr>
                <w:rFonts w:ascii="Arial" w:eastAsia="宋体" w:hAnsi="Arial" w:cs="Arial"/>
              </w:rPr>
              <w:t>4S</w:t>
            </w:r>
            <w:r w:rsidRPr="00F4626A">
              <w:rPr>
                <w:rFonts w:ascii="Arial" w:eastAsia="宋体" w:hAnsi="Arial" w:cs="Arial" w:hint="eastAsia"/>
              </w:rPr>
              <w:t>店</w:t>
            </w:r>
            <w:r>
              <w:rPr>
                <w:rFonts w:ascii="Arial" w:eastAsia="宋体" w:hAnsi="Arial" w:cs="Arial" w:hint="eastAsia"/>
              </w:rPr>
              <w:t>为主</w:t>
            </w:r>
            <w:r w:rsidRPr="00F4626A">
              <w:rPr>
                <w:rFonts w:ascii="Arial" w:eastAsia="宋体" w:hAnsi="Arial" w:cs="Arial" w:hint="eastAsia"/>
              </w:rPr>
              <w:t>，但随着</w:t>
            </w:r>
            <w:r w:rsidRPr="00574470">
              <w:rPr>
                <w:rFonts w:ascii="Arial" w:eastAsia="宋体" w:hAnsi="Arial" w:cs="Arial" w:hint="eastAsia"/>
              </w:rPr>
              <w:t>车龄突破</w:t>
            </w:r>
            <w:r w:rsidRPr="00574470">
              <w:rPr>
                <w:rFonts w:ascii="Arial" w:eastAsia="宋体" w:hAnsi="Arial" w:cs="Arial"/>
              </w:rPr>
              <w:t>4S</w:t>
            </w:r>
            <w:r w:rsidRPr="00574470">
              <w:rPr>
                <w:rFonts w:ascii="Arial" w:eastAsia="宋体" w:hAnsi="Arial" w:cs="Arial" w:hint="eastAsia"/>
              </w:rPr>
              <w:t>店质保期限，消费者转向第三方独立机构购买维保服务的意愿增强，为独立汽车后市场的发展创造了条件，</w:t>
            </w:r>
            <w:r>
              <w:rPr>
                <w:rFonts w:ascii="Arial" w:eastAsia="宋体" w:hAnsi="Arial" w:cs="Arial" w:hint="eastAsia"/>
              </w:rPr>
              <w:t>国内</w:t>
            </w:r>
            <w:r w:rsidRPr="00574470">
              <w:rPr>
                <w:rFonts w:ascii="Arial" w:eastAsia="宋体" w:hAnsi="Arial" w:cs="Arial" w:hint="eastAsia"/>
              </w:rPr>
              <w:t>市场</w:t>
            </w:r>
            <w:r>
              <w:rPr>
                <w:rFonts w:ascii="Arial" w:eastAsia="宋体" w:hAnsi="Arial" w:cs="Arial" w:hint="eastAsia"/>
              </w:rPr>
              <w:t>仍有较大的市场</w:t>
            </w:r>
            <w:r w:rsidR="004105E0">
              <w:rPr>
                <w:rFonts w:ascii="Arial" w:eastAsia="宋体" w:hAnsi="Arial" w:cs="Arial" w:hint="eastAsia"/>
              </w:rPr>
              <w:t>潜力</w:t>
            </w:r>
            <w:r>
              <w:rPr>
                <w:rFonts w:ascii="Arial" w:eastAsia="宋体" w:hAnsi="Arial" w:cs="Arial" w:hint="eastAsia"/>
              </w:rPr>
              <w:t>，</w:t>
            </w:r>
            <w:r w:rsidRPr="00932B80">
              <w:rPr>
                <w:rFonts w:ascii="Arial" w:eastAsia="宋体" w:hAnsi="Arial" w:cs="Arial" w:hint="eastAsia"/>
              </w:rPr>
              <w:t>公司</w:t>
            </w:r>
            <w:r w:rsidR="00BE1930">
              <w:rPr>
                <w:rFonts w:ascii="Arial" w:eastAsia="宋体" w:hAnsi="Arial" w:cs="Arial" w:hint="eastAsia"/>
              </w:rPr>
              <w:t>一直</w:t>
            </w:r>
            <w:r w:rsidRPr="00932B80">
              <w:rPr>
                <w:rFonts w:ascii="Arial" w:eastAsia="宋体" w:hAnsi="Arial" w:cs="Arial" w:hint="eastAsia"/>
              </w:rPr>
              <w:t>密切关注国内</w:t>
            </w:r>
            <w:r>
              <w:rPr>
                <w:rFonts w:ascii="Arial" w:eastAsia="宋体" w:hAnsi="Arial" w:cs="Arial" w:hint="eastAsia"/>
              </w:rPr>
              <w:t>的</w:t>
            </w:r>
            <w:r w:rsidRPr="00932B80">
              <w:rPr>
                <w:rFonts w:ascii="Arial" w:eastAsia="宋体" w:hAnsi="Arial" w:cs="Arial" w:hint="eastAsia"/>
              </w:rPr>
              <w:t>市场机会</w:t>
            </w:r>
            <w:r>
              <w:rPr>
                <w:rFonts w:ascii="Arial" w:eastAsia="宋体" w:hAnsi="Arial" w:cs="Arial" w:hint="eastAsia"/>
              </w:rPr>
              <w:t>。</w:t>
            </w:r>
          </w:p>
          <w:p w14:paraId="6F204D8B" w14:textId="454BBF63" w:rsidR="00A12F8B" w:rsidRDefault="00A12F8B" w:rsidP="00932B80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</w:p>
          <w:p w14:paraId="663A344C" w14:textId="170D0D1E" w:rsidR="00A12F8B" w:rsidRDefault="00A12F8B" w:rsidP="00A12F8B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  <w:r w:rsidRPr="00774DC6">
              <w:rPr>
                <w:rFonts w:ascii="Arial" w:eastAsia="宋体" w:hAnsi="Arial" w:cs="Arial"/>
                <w:b/>
                <w:bCs/>
              </w:rPr>
              <w:t>问题</w:t>
            </w:r>
            <w:r>
              <w:rPr>
                <w:rFonts w:ascii="Arial" w:eastAsia="宋体" w:hAnsi="Arial" w:cs="Arial" w:hint="eastAsia"/>
                <w:b/>
                <w:bCs/>
              </w:rPr>
              <w:t>五</w:t>
            </w:r>
            <w:r w:rsidRPr="00774DC6">
              <w:rPr>
                <w:rFonts w:ascii="Arial" w:eastAsia="宋体" w:hAnsi="Arial" w:cs="Arial"/>
                <w:b/>
                <w:bCs/>
              </w:rPr>
              <w:t>：</w:t>
            </w:r>
            <w:r>
              <w:rPr>
                <w:rFonts w:ascii="Arial" w:eastAsia="宋体" w:hAnsi="Arial" w:cs="Arial"/>
                <w:b/>
                <w:bCs/>
              </w:rPr>
              <w:t>TPMS</w:t>
            </w:r>
            <w:r>
              <w:rPr>
                <w:rFonts w:ascii="Arial" w:eastAsia="宋体" w:hAnsi="Arial" w:cs="Arial" w:hint="eastAsia"/>
                <w:b/>
                <w:bCs/>
              </w:rPr>
              <w:t>系列产品在国内是否有机会？</w:t>
            </w:r>
          </w:p>
          <w:p w14:paraId="05FA1667" w14:textId="50C894A1" w:rsidR="00A12F8B" w:rsidRDefault="00A12F8B" w:rsidP="00B8098E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 w:rsidRPr="00A12F8B">
              <w:rPr>
                <w:rFonts w:ascii="Arial" w:eastAsia="宋体" w:hAnsi="Arial" w:cs="Arial"/>
              </w:rPr>
              <w:t>TPMS</w:t>
            </w:r>
            <w:r>
              <w:rPr>
                <w:rFonts w:ascii="Arial" w:eastAsia="宋体" w:hAnsi="Arial" w:cs="Arial" w:hint="eastAsia"/>
              </w:rPr>
              <w:t>（胎压监测系统）</w:t>
            </w:r>
            <w:r w:rsidRPr="00A12F8B">
              <w:rPr>
                <w:rFonts w:ascii="Arial" w:eastAsia="宋体" w:hAnsi="Arial" w:cs="Arial" w:hint="eastAsia"/>
              </w:rPr>
              <w:t>是通过在车辆的每个车轮上安装具有监测轮胎状态的传感器，能实时测录轮胎的压力、温度等安全数据，并通过无线射频方式接入车辆内置或外接仪表，提示数据变化与行车安全状态的系统。随着强制性法规的出台和实施以及广大车主安全意识的提升，后装市场对</w:t>
            </w:r>
            <w:r w:rsidRPr="00A12F8B">
              <w:rPr>
                <w:rFonts w:ascii="Arial" w:eastAsia="宋体" w:hAnsi="Arial" w:cs="Arial"/>
              </w:rPr>
              <w:t>TPMS</w:t>
            </w:r>
            <w:r w:rsidRPr="00A12F8B">
              <w:rPr>
                <w:rFonts w:ascii="Arial" w:eastAsia="宋体" w:hAnsi="Arial" w:cs="Arial" w:hint="eastAsia"/>
              </w:rPr>
              <w:t>传感器的需求开始迅速增长</w:t>
            </w:r>
            <w:r>
              <w:rPr>
                <w:rFonts w:ascii="Arial" w:eastAsia="宋体" w:hAnsi="Arial" w:cs="Arial" w:hint="eastAsia"/>
              </w:rPr>
              <w:t>。</w:t>
            </w:r>
          </w:p>
          <w:p w14:paraId="4FCC226A" w14:textId="29E36A46" w:rsidR="00A12F8B" w:rsidRPr="00A12F8B" w:rsidRDefault="00A12F8B" w:rsidP="00932B80">
            <w:pPr>
              <w:pStyle w:val="af5"/>
              <w:ind w:firstLine="480"/>
              <w:jc w:val="both"/>
              <w:rPr>
                <w:rFonts w:ascii="Arial" w:eastAsia="宋体" w:hAnsi="Arial" w:cs="Arial" w:hint="eastAsia"/>
              </w:rPr>
            </w:pPr>
            <w:r>
              <w:rPr>
                <w:rFonts w:ascii="Arial" w:eastAsia="宋体" w:hAnsi="Arial" w:cs="Arial" w:hint="eastAsia"/>
              </w:rPr>
              <w:t>以欧美为主的海外市场</w:t>
            </w:r>
            <w:r w:rsidR="000200AE">
              <w:rPr>
                <w:rFonts w:ascii="Arial" w:eastAsia="宋体" w:hAnsi="Arial" w:cs="Arial" w:hint="eastAsia"/>
              </w:rPr>
              <w:t>对于</w:t>
            </w:r>
            <w:r w:rsidR="000200AE">
              <w:rPr>
                <w:rFonts w:ascii="Arial" w:eastAsia="宋体" w:hAnsi="Arial" w:cs="Arial" w:hint="eastAsia"/>
              </w:rPr>
              <w:t>T</w:t>
            </w:r>
            <w:r w:rsidR="000200AE">
              <w:rPr>
                <w:rFonts w:ascii="Arial" w:eastAsia="宋体" w:hAnsi="Arial" w:cs="Arial"/>
              </w:rPr>
              <w:t>PMS</w:t>
            </w:r>
            <w:r w:rsidR="000200AE">
              <w:rPr>
                <w:rFonts w:ascii="Arial" w:eastAsia="宋体" w:hAnsi="Arial" w:cs="Arial" w:hint="eastAsia"/>
              </w:rPr>
              <w:t>强制安装的</w:t>
            </w:r>
            <w:r>
              <w:rPr>
                <w:rFonts w:ascii="Arial" w:eastAsia="宋体" w:hAnsi="Arial" w:cs="Arial" w:hint="eastAsia"/>
              </w:rPr>
              <w:t>立法</w:t>
            </w:r>
            <w:r w:rsidR="000200AE">
              <w:rPr>
                <w:rFonts w:ascii="Arial" w:eastAsia="宋体" w:hAnsi="Arial" w:cs="Arial" w:hint="eastAsia"/>
              </w:rPr>
              <w:t>时间</w:t>
            </w:r>
            <w:r>
              <w:rPr>
                <w:rFonts w:ascii="Arial" w:eastAsia="宋体" w:hAnsi="Arial" w:cs="Arial" w:hint="eastAsia"/>
              </w:rPr>
              <w:t>较早</w:t>
            </w:r>
            <w:r w:rsidR="00C67927">
              <w:rPr>
                <w:rFonts w:ascii="Arial" w:eastAsia="宋体" w:hAnsi="Arial" w:cs="Arial" w:hint="eastAsia"/>
              </w:rPr>
              <w:t>，且汽车后市场主要以大型第三方独立维修店为主，目前公司</w:t>
            </w:r>
            <w:r w:rsidR="00C67927">
              <w:rPr>
                <w:rFonts w:ascii="Arial" w:eastAsia="宋体" w:hAnsi="Arial" w:cs="Arial" w:hint="eastAsia"/>
              </w:rPr>
              <w:t>T</w:t>
            </w:r>
            <w:r w:rsidR="00C67927">
              <w:rPr>
                <w:rFonts w:ascii="Arial" w:eastAsia="宋体" w:hAnsi="Arial" w:cs="Arial"/>
              </w:rPr>
              <w:t>PMS</w:t>
            </w:r>
            <w:r w:rsidR="00C67927">
              <w:rPr>
                <w:rFonts w:ascii="Arial" w:eastAsia="宋体" w:hAnsi="Arial" w:cs="Arial" w:hint="eastAsia"/>
              </w:rPr>
              <w:t>系列产品主要供应欧美市场。国内</w:t>
            </w:r>
            <w:r w:rsidR="00EB799B">
              <w:rPr>
                <w:rFonts w:ascii="Arial" w:eastAsia="宋体" w:hAnsi="Arial" w:cs="Arial" w:hint="eastAsia"/>
              </w:rPr>
              <w:t>则是</w:t>
            </w:r>
            <w:r w:rsidR="00C67927">
              <w:rPr>
                <w:rFonts w:ascii="Arial" w:eastAsia="宋体" w:hAnsi="Arial" w:cs="Arial" w:hint="eastAsia"/>
              </w:rPr>
              <w:t>从</w:t>
            </w:r>
            <w:r w:rsidR="00C67927">
              <w:rPr>
                <w:rFonts w:ascii="Arial" w:eastAsia="宋体" w:hAnsi="Arial" w:cs="Arial" w:hint="eastAsia"/>
              </w:rPr>
              <w:t>2</w:t>
            </w:r>
            <w:r w:rsidR="00C67927">
              <w:rPr>
                <w:rFonts w:ascii="Arial" w:eastAsia="宋体" w:hAnsi="Arial" w:cs="Arial"/>
              </w:rPr>
              <w:t>020</w:t>
            </w:r>
            <w:r w:rsidR="00C67927">
              <w:rPr>
                <w:rFonts w:ascii="Arial" w:eastAsia="宋体" w:hAnsi="Arial" w:cs="Arial" w:hint="eastAsia"/>
              </w:rPr>
              <w:t>年</w:t>
            </w:r>
            <w:r w:rsidR="00C67927">
              <w:rPr>
                <w:rFonts w:ascii="Arial" w:eastAsia="宋体" w:hAnsi="Arial" w:cs="Arial" w:hint="eastAsia"/>
              </w:rPr>
              <w:t>1</w:t>
            </w:r>
            <w:r w:rsidR="00C67927">
              <w:rPr>
                <w:rFonts w:ascii="Arial" w:eastAsia="宋体" w:hAnsi="Arial" w:cs="Arial" w:hint="eastAsia"/>
              </w:rPr>
              <w:t>月</w:t>
            </w:r>
            <w:r w:rsidR="00C67927">
              <w:rPr>
                <w:rFonts w:ascii="Arial" w:eastAsia="宋体" w:hAnsi="Arial" w:cs="Arial" w:hint="eastAsia"/>
              </w:rPr>
              <w:t>1</w:t>
            </w:r>
            <w:r w:rsidR="00C67927">
              <w:rPr>
                <w:rFonts w:ascii="Arial" w:eastAsia="宋体" w:hAnsi="Arial" w:cs="Arial" w:hint="eastAsia"/>
              </w:rPr>
              <w:t>日起</w:t>
            </w:r>
            <w:r w:rsidR="00EB799B">
              <w:rPr>
                <w:rFonts w:ascii="Arial" w:eastAsia="宋体" w:hAnsi="Arial" w:cs="Arial" w:hint="eastAsia"/>
              </w:rPr>
              <w:t>才明确要求</w:t>
            </w:r>
            <w:r w:rsidR="00C67927">
              <w:rPr>
                <w:rFonts w:ascii="Arial" w:eastAsia="宋体" w:hAnsi="Arial" w:cs="Arial" w:hint="eastAsia"/>
              </w:rPr>
              <w:t>所有新车强制安装</w:t>
            </w:r>
            <w:r w:rsidR="00C67927">
              <w:rPr>
                <w:rFonts w:ascii="Arial" w:eastAsia="宋体" w:hAnsi="Arial" w:cs="Arial" w:hint="eastAsia"/>
              </w:rPr>
              <w:t>T</w:t>
            </w:r>
            <w:r w:rsidR="00C67927">
              <w:rPr>
                <w:rFonts w:ascii="Arial" w:eastAsia="宋体" w:hAnsi="Arial" w:cs="Arial"/>
              </w:rPr>
              <w:t>PMS</w:t>
            </w:r>
            <w:r w:rsidR="00C67927">
              <w:rPr>
                <w:rFonts w:ascii="Arial" w:eastAsia="宋体" w:hAnsi="Arial" w:cs="Arial" w:hint="eastAsia"/>
              </w:rPr>
              <w:t>，由于</w:t>
            </w:r>
            <w:r w:rsidR="00B8098E">
              <w:rPr>
                <w:rFonts w:ascii="Arial" w:eastAsia="宋体" w:hAnsi="Arial" w:cs="Arial" w:hint="eastAsia"/>
              </w:rPr>
              <w:t>国内汽车后市场形态仍以</w:t>
            </w:r>
            <w:r w:rsidR="00B8098E">
              <w:rPr>
                <w:rFonts w:ascii="Arial" w:eastAsia="宋体" w:hAnsi="Arial" w:cs="Arial" w:hint="eastAsia"/>
              </w:rPr>
              <w:t>4</w:t>
            </w:r>
            <w:r w:rsidR="00B8098E">
              <w:rPr>
                <w:rFonts w:ascii="Arial" w:eastAsia="宋体" w:hAnsi="Arial" w:cs="Arial"/>
              </w:rPr>
              <w:t>S</w:t>
            </w:r>
            <w:r w:rsidR="00B8098E">
              <w:rPr>
                <w:rFonts w:ascii="Arial" w:eastAsia="宋体" w:hAnsi="Arial" w:cs="Arial" w:hint="eastAsia"/>
              </w:rPr>
              <w:t>店为主，公司国内业务目前开展较少，但随着第三方连锁品牌的快速发展，国内还是有</w:t>
            </w:r>
            <w:r w:rsidR="000200AE">
              <w:rPr>
                <w:rFonts w:ascii="Arial" w:eastAsia="宋体" w:hAnsi="Arial" w:cs="Arial" w:hint="eastAsia"/>
              </w:rPr>
              <w:t>较大的市场潜力</w:t>
            </w:r>
            <w:r w:rsidR="00B8098E">
              <w:rPr>
                <w:rFonts w:ascii="Arial" w:eastAsia="宋体" w:hAnsi="Arial" w:cs="Arial" w:hint="eastAsia"/>
              </w:rPr>
              <w:t>，公司会保持密切关注。</w:t>
            </w:r>
          </w:p>
          <w:p w14:paraId="2C68986A" w14:textId="43ABEAE8" w:rsidR="002F7382" w:rsidRDefault="002F7382" w:rsidP="00932B80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</w:p>
          <w:p w14:paraId="56279943" w14:textId="6B366695" w:rsidR="002F7382" w:rsidRDefault="002F7382" w:rsidP="002F7382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  <w:r w:rsidRPr="00774DC6">
              <w:rPr>
                <w:rFonts w:ascii="Arial" w:eastAsia="宋体" w:hAnsi="Arial" w:cs="Arial"/>
                <w:b/>
                <w:bCs/>
              </w:rPr>
              <w:t>问题</w:t>
            </w:r>
            <w:r w:rsidR="00A12F8B">
              <w:rPr>
                <w:rFonts w:ascii="Arial" w:eastAsia="宋体" w:hAnsi="Arial" w:cs="Arial" w:hint="eastAsia"/>
                <w:b/>
                <w:bCs/>
              </w:rPr>
              <w:t>六</w:t>
            </w:r>
            <w:r w:rsidRPr="00774DC6">
              <w:rPr>
                <w:rFonts w:ascii="Arial" w:eastAsia="宋体" w:hAnsi="Arial" w:cs="Arial"/>
                <w:b/>
                <w:bCs/>
              </w:rPr>
              <w:t>：</w:t>
            </w:r>
            <w:r>
              <w:rPr>
                <w:rFonts w:ascii="Arial" w:eastAsia="宋体" w:hAnsi="Arial" w:cs="Arial" w:hint="eastAsia"/>
                <w:b/>
                <w:bCs/>
              </w:rPr>
              <w:t>2</w:t>
            </w:r>
            <w:r>
              <w:rPr>
                <w:rFonts w:ascii="Arial" w:eastAsia="宋体" w:hAnsi="Arial" w:cs="Arial"/>
                <w:b/>
                <w:bCs/>
              </w:rPr>
              <w:t>023</w:t>
            </w:r>
            <w:r>
              <w:rPr>
                <w:rFonts w:ascii="Arial" w:eastAsia="宋体" w:hAnsi="Arial" w:cs="Arial" w:hint="eastAsia"/>
                <w:b/>
                <w:bCs/>
              </w:rPr>
              <w:t>年</w:t>
            </w:r>
            <w:r w:rsidR="00112451">
              <w:rPr>
                <w:rFonts w:ascii="Arial" w:eastAsia="宋体" w:hAnsi="Arial" w:cs="Arial" w:hint="eastAsia"/>
                <w:b/>
                <w:bCs/>
              </w:rPr>
              <w:t>公司研发费用率下降的原因？</w:t>
            </w:r>
          </w:p>
          <w:p w14:paraId="25DEB773" w14:textId="751C350A" w:rsidR="00112451" w:rsidRPr="00112451" w:rsidRDefault="00112451" w:rsidP="002F7382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</w:t>
            </w:r>
            <w:r>
              <w:rPr>
                <w:rFonts w:ascii="Arial" w:eastAsia="宋体" w:hAnsi="Arial" w:cs="Arial"/>
              </w:rPr>
              <w:t>022</w:t>
            </w:r>
            <w:r>
              <w:rPr>
                <w:rFonts w:ascii="Arial" w:eastAsia="宋体" w:hAnsi="Arial" w:cs="Arial" w:hint="eastAsia"/>
              </w:rPr>
              <w:t>年公司研发费用率达到近几年的最高值</w:t>
            </w:r>
            <w:r>
              <w:rPr>
                <w:rFonts w:ascii="Arial" w:eastAsia="宋体" w:hAnsi="Arial" w:cs="Arial" w:hint="eastAsia"/>
              </w:rPr>
              <w:t>2</w:t>
            </w:r>
            <w:r>
              <w:rPr>
                <w:rFonts w:ascii="Arial" w:eastAsia="宋体" w:hAnsi="Arial" w:cs="Arial"/>
              </w:rPr>
              <w:t>4.78%</w:t>
            </w:r>
            <w:r>
              <w:rPr>
                <w:rFonts w:ascii="Arial" w:eastAsia="宋体" w:hAnsi="Arial" w:cs="Arial" w:hint="eastAsia"/>
              </w:rPr>
              <w:t>，主要原因系公司当年在</w:t>
            </w:r>
            <w:r w:rsidRPr="00112451">
              <w:rPr>
                <w:rFonts w:ascii="Arial" w:eastAsia="宋体" w:hAnsi="Arial" w:cs="Arial" w:hint="eastAsia"/>
              </w:rPr>
              <w:t>汽车后市场</w:t>
            </w:r>
            <w:r>
              <w:rPr>
                <w:rFonts w:ascii="Arial" w:eastAsia="宋体" w:hAnsi="Arial" w:cs="Arial" w:hint="eastAsia"/>
              </w:rPr>
              <w:t>数字化、智能化、新能源化三大方向同时投入，</w:t>
            </w:r>
            <w:r w:rsidR="00A725F0">
              <w:rPr>
                <w:rFonts w:ascii="Arial" w:eastAsia="宋体" w:hAnsi="Arial" w:cs="Arial" w:hint="eastAsia"/>
              </w:rPr>
              <w:t>以确保</w:t>
            </w:r>
            <w:r>
              <w:rPr>
                <w:rFonts w:ascii="Arial" w:eastAsia="宋体" w:hAnsi="Arial" w:cs="Arial" w:hint="eastAsia"/>
              </w:rPr>
              <w:t>技术前瞻性及长期可持续发展。在</w:t>
            </w:r>
            <w:r w:rsidR="00A725F0">
              <w:rPr>
                <w:rFonts w:ascii="Arial" w:eastAsia="宋体" w:hAnsi="Arial" w:cs="Arial" w:hint="eastAsia"/>
              </w:rPr>
              <w:t>相关领域</w:t>
            </w:r>
            <w:r>
              <w:rPr>
                <w:rFonts w:ascii="Arial" w:eastAsia="宋体" w:hAnsi="Arial" w:cs="Arial" w:hint="eastAsia"/>
              </w:rPr>
              <w:t>基础打牢的前提下，</w:t>
            </w:r>
            <w:r w:rsidR="00A725F0">
              <w:rPr>
                <w:rFonts w:ascii="Arial" w:eastAsia="宋体" w:hAnsi="Arial" w:cs="Arial"/>
              </w:rPr>
              <w:t>2023</w:t>
            </w:r>
            <w:r w:rsidR="00A725F0">
              <w:rPr>
                <w:rFonts w:ascii="Arial" w:eastAsia="宋体" w:hAnsi="Arial" w:cs="Arial" w:hint="eastAsia"/>
              </w:rPr>
              <w:t>年</w:t>
            </w:r>
            <w:r>
              <w:rPr>
                <w:rFonts w:ascii="Arial" w:eastAsia="宋体" w:hAnsi="Arial" w:cs="Arial" w:hint="eastAsia"/>
              </w:rPr>
              <w:t>公司的</w:t>
            </w:r>
            <w:r w:rsidR="00A725F0">
              <w:rPr>
                <w:rFonts w:ascii="Arial" w:eastAsia="宋体" w:hAnsi="Arial" w:cs="Arial" w:hint="eastAsia"/>
              </w:rPr>
              <w:t>研发方向</w:t>
            </w:r>
            <w:r>
              <w:rPr>
                <w:rFonts w:ascii="Arial" w:eastAsia="宋体" w:hAnsi="Arial" w:cs="Arial" w:hint="eastAsia"/>
              </w:rPr>
              <w:t>更加聚焦于</w:t>
            </w:r>
            <w:r w:rsidR="00A725F0">
              <w:rPr>
                <w:rFonts w:ascii="Arial" w:eastAsia="宋体" w:hAnsi="Arial" w:cs="Arial" w:hint="eastAsia"/>
              </w:rPr>
              <w:t>新能源及软件云平台的开发</w:t>
            </w:r>
            <w:r w:rsidR="00344077">
              <w:rPr>
                <w:rFonts w:ascii="Arial" w:eastAsia="宋体" w:hAnsi="Arial" w:cs="Arial" w:hint="eastAsia"/>
              </w:rPr>
              <w:t>，研发费用绝对值与</w:t>
            </w:r>
            <w:r w:rsidR="00344077">
              <w:rPr>
                <w:rFonts w:ascii="Arial" w:eastAsia="宋体" w:hAnsi="Arial" w:cs="Arial" w:hint="eastAsia"/>
              </w:rPr>
              <w:t>2</w:t>
            </w:r>
            <w:r w:rsidR="00344077">
              <w:rPr>
                <w:rFonts w:ascii="Arial" w:eastAsia="宋体" w:hAnsi="Arial" w:cs="Arial"/>
              </w:rPr>
              <w:t>022</w:t>
            </w:r>
            <w:r w:rsidR="00344077">
              <w:rPr>
                <w:rFonts w:ascii="Arial" w:eastAsia="宋体" w:hAnsi="Arial" w:cs="Arial" w:hint="eastAsia"/>
              </w:rPr>
              <w:t>年基本持平，</w:t>
            </w:r>
            <w:r w:rsidR="00A725F0">
              <w:rPr>
                <w:rFonts w:ascii="Arial" w:eastAsia="宋体" w:hAnsi="Arial" w:cs="Arial" w:hint="eastAsia"/>
              </w:rPr>
              <w:t>营业收入的快速增长使得研发费用率出现下降。未来</w:t>
            </w:r>
            <w:r w:rsidR="00C0331E">
              <w:rPr>
                <w:rFonts w:ascii="Arial" w:eastAsia="宋体" w:hAnsi="Arial" w:cs="Arial" w:hint="eastAsia"/>
              </w:rPr>
              <w:t>，</w:t>
            </w:r>
            <w:r w:rsidR="00A725F0">
              <w:rPr>
                <w:rFonts w:ascii="Arial" w:eastAsia="宋体" w:hAnsi="Arial" w:cs="Arial" w:hint="eastAsia"/>
              </w:rPr>
              <w:t>公司将持续以技术创新为驱动，</w:t>
            </w:r>
            <w:r w:rsidR="005A3CE4">
              <w:rPr>
                <w:rFonts w:ascii="Arial" w:eastAsia="宋体" w:hAnsi="Arial" w:cs="Arial" w:hint="eastAsia"/>
              </w:rPr>
              <w:t>加大核心技术战略投入，</w:t>
            </w:r>
            <w:r w:rsidR="005A3CE4" w:rsidRPr="005A3CE4">
              <w:rPr>
                <w:rFonts w:ascii="Arial" w:eastAsia="宋体" w:hAnsi="Arial" w:cs="Arial" w:hint="eastAsia"/>
              </w:rPr>
              <w:t>构筑整体系统性</w:t>
            </w:r>
            <w:r w:rsidR="006D329E">
              <w:rPr>
                <w:rFonts w:ascii="Arial" w:eastAsia="宋体" w:hAnsi="Arial" w:cs="Arial" w:hint="eastAsia"/>
              </w:rPr>
              <w:t>竞争优势。</w:t>
            </w:r>
          </w:p>
          <w:p w14:paraId="764A5F7E" w14:textId="1DB67011" w:rsidR="00B31632" w:rsidRPr="004F6FFF" w:rsidRDefault="00B31632" w:rsidP="00D02E4C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</w:p>
        </w:tc>
      </w:tr>
      <w:tr w:rsidR="00473A8E" w:rsidRPr="00774DC6" w14:paraId="65006B53" w14:textId="77777777" w:rsidTr="00686285">
        <w:trPr>
          <w:trHeight w:val="812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099D" w14:textId="77777777" w:rsidR="00473A8E" w:rsidRPr="00774DC6" w:rsidRDefault="00473A8E" w:rsidP="00473A8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lastRenderedPageBreak/>
              <w:t>附件清单</w:t>
            </w:r>
          </w:p>
          <w:p w14:paraId="2AEBF81C" w14:textId="33488415" w:rsidR="00473A8E" w:rsidRPr="00774DC6" w:rsidRDefault="00473A8E" w:rsidP="00473A8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（如有）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06B7" w14:textId="36718147" w:rsidR="00473A8E" w:rsidRPr="00774DC6" w:rsidRDefault="00473A8E" w:rsidP="008D787E">
            <w:pPr>
              <w:snapToGrid w:val="0"/>
              <w:spacing w:after="0" w:line="320" w:lineRule="exact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color w:val="auto"/>
                <w:sz w:val="24"/>
                <w:szCs w:val="24"/>
              </w:rPr>
              <w:t>无</w:t>
            </w:r>
          </w:p>
        </w:tc>
      </w:tr>
      <w:tr w:rsidR="00473A8E" w:rsidRPr="00774DC6" w14:paraId="26008026" w14:textId="77777777" w:rsidTr="00686285">
        <w:trPr>
          <w:trHeight w:val="1216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F8DE" w14:textId="5F65491E" w:rsidR="00473A8E" w:rsidRPr="00774DC6" w:rsidRDefault="00473A8E" w:rsidP="008D787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4F5E" w14:textId="64A2F622" w:rsidR="00473A8E" w:rsidRPr="00774DC6" w:rsidRDefault="00473A8E" w:rsidP="00085688">
            <w:pPr>
              <w:snapToGrid w:val="0"/>
              <w:spacing w:after="0" w:line="276" w:lineRule="auto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color w:val="auto"/>
                <w:sz w:val="24"/>
                <w:szCs w:val="24"/>
              </w:rPr>
              <w:t>接待过程中，公司与投资者进行了充分的交流与沟通，并严格遵守公司《信息披露管理制度》等文件的规定，保证信息披露的真实、准确、完整、及时、公平，没有出现未公开重大信息泄露等情况。</w:t>
            </w:r>
          </w:p>
        </w:tc>
      </w:tr>
    </w:tbl>
    <w:p w14:paraId="492D54F0" w14:textId="77777777" w:rsidR="00585A12" w:rsidRPr="00774DC6" w:rsidRDefault="00585A12">
      <w:pPr>
        <w:spacing w:after="0"/>
        <w:jc w:val="both"/>
        <w:rPr>
          <w:rFonts w:ascii="Arial" w:eastAsia="宋体" w:hAnsi="Arial" w:cs="Arial"/>
          <w:color w:val="auto"/>
        </w:rPr>
      </w:pPr>
    </w:p>
    <w:sectPr w:rsidR="00585A12" w:rsidRPr="00774DC6" w:rsidSect="00473A8E">
      <w:pgSz w:w="11906" w:h="16838" w:code="9"/>
      <w:pgMar w:top="1446" w:right="1797" w:bottom="1582" w:left="1797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D7F9" w14:textId="77777777" w:rsidR="00A01F63" w:rsidRDefault="00A01F63" w:rsidP="00170410">
      <w:pPr>
        <w:spacing w:after="0" w:line="240" w:lineRule="auto"/>
      </w:pPr>
      <w:r>
        <w:separator/>
      </w:r>
    </w:p>
  </w:endnote>
  <w:endnote w:type="continuationSeparator" w:id="0">
    <w:p w14:paraId="0BBF8CB2" w14:textId="77777777" w:rsidR="00A01F63" w:rsidRDefault="00A01F63" w:rsidP="001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B2A3" w14:textId="77777777" w:rsidR="00A01F63" w:rsidRDefault="00A01F63" w:rsidP="00170410">
      <w:pPr>
        <w:spacing w:after="0" w:line="240" w:lineRule="auto"/>
      </w:pPr>
      <w:r>
        <w:separator/>
      </w:r>
    </w:p>
  </w:footnote>
  <w:footnote w:type="continuationSeparator" w:id="0">
    <w:p w14:paraId="4F60133B" w14:textId="77777777" w:rsidR="00A01F63" w:rsidRDefault="00A01F63" w:rsidP="0017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61E"/>
    <w:multiLevelType w:val="hybridMultilevel"/>
    <w:tmpl w:val="529A4F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B70246"/>
    <w:multiLevelType w:val="hybridMultilevel"/>
    <w:tmpl w:val="B56EF25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3A56007"/>
    <w:multiLevelType w:val="hybridMultilevel"/>
    <w:tmpl w:val="4B72B6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B5463"/>
    <w:multiLevelType w:val="multilevel"/>
    <w:tmpl w:val="4C6A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4460B"/>
    <w:multiLevelType w:val="hybridMultilevel"/>
    <w:tmpl w:val="AC62CF62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F181A69"/>
    <w:multiLevelType w:val="hybridMultilevel"/>
    <w:tmpl w:val="5D1C70F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93A5699"/>
    <w:multiLevelType w:val="hybridMultilevel"/>
    <w:tmpl w:val="E4680128"/>
    <w:lvl w:ilvl="0" w:tplc="8EE8BE4C">
      <w:start w:val="1"/>
      <w:numFmt w:val="japaneseCounting"/>
      <w:lvlText w:val="%1、"/>
      <w:lvlJc w:val="left"/>
      <w:pPr>
        <w:ind w:left="450" w:hanging="45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B412FA"/>
    <w:multiLevelType w:val="hybridMultilevel"/>
    <w:tmpl w:val="F4BA4C6C"/>
    <w:lvl w:ilvl="0" w:tplc="173E1D56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3024243A"/>
    <w:multiLevelType w:val="hybridMultilevel"/>
    <w:tmpl w:val="0FF8E29C"/>
    <w:lvl w:ilvl="0" w:tplc="886054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DD35B9"/>
    <w:multiLevelType w:val="hybridMultilevel"/>
    <w:tmpl w:val="5B60CB9C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3BDA67B7"/>
    <w:multiLevelType w:val="hybridMultilevel"/>
    <w:tmpl w:val="D53CF5E8"/>
    <w:lvl w:ilvl="0" w:tplc="5B9E2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15552C"/>
    <w:multiLevelType w:val="hybridMultilevel"/>
    <w:tmpl w:val="5CF46A34"/>
    <w:lvl w:ilvl="0" w:tplc="7C88D358">
      <w:start w:val="1"/>
      <w:numFmt w:val="lowerLetter"/>
      <w:lvlText w:val="%1)"/>
      <w:lvlJc w:val="left"/>
      <w:pPr>
        <w:ind w:left="120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 w15:restartNumberingAfterBreak="0">
    <w:nsid w:val="47415D4E"/>
    <w:multiLevelType w:val="hybridMultilevel"/>
    <w:tmpl w:val="71E27BD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570C3A55"/>
    <w:multiLevelType w:val="hybridMultilevel"/>
    <w:tmpl w:val="08782192"/>
    <w:lvl w:ilvl="0" w:tplc="914EFBDE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4" w15:restartNumberingAfterBreak="0">
    <w:nsid w:val="5DD3307A"/>
    <w:multiLevelType w:val="hybridMultilevel"/>
    <w:tmpl w:val="DCA0775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646E103C"/>
    <w:multiLevelType w:val="hybridMultilevel"/>
    <w:tmpl w:val="12523BBA"/>
    <w:lvl w:ilvl="0" w:tplc="DF741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C28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89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A05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EC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423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52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839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66D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45B35"/>
    <w:multiLevelType w:val="hybridMultilevel"/>
    <w:tmpl w:val="83469A52"/>
    <w:lvl w:ilvl="0" w:tplc="9A147B8C">
      <w:start w:val="1"/>
      <w:numFmt w:val="bullet"/>
      <w:lvlText w:val=""/>
      <w:lvlJc w:val="left"/>
      <w:pPr>
        <w:ind w:left="1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64D91A8B"/>
    <w:multiLevelType w:val="hybridMultilevel"/>
    <w:tmpl w:val="C2086708"/>
    <w:lvl w:ilvl="0" w:tplc="77489A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5E367E"/>
    <w:multiLevelType w:val="hybridMultilevel"/>
    <w:tmpl w:val="4C3050E0"/>
    <w:lvl w:ilvl="0" w:tplc="D6307282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48977F2"/>
    <w:multiLevelType w:val="hybridMultilevel"/>
    <w:tmpl w:val="4FC6AFF2"/>
    <w:lvl w:ilvl="0" w:tplc="BFF8054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4A40A6"/>
    <w:multiLevelType w:val="hybridMultilevel"/>
    <w:tmpl w:val="BDD6336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1" w15:restartNumberingAfterBreak="0">
    <w:nsid w:val="7D655733"/>
    <w:multiLevelType w:val="hybridMultilevel"/>
    <w:tmpl w:val="FF1A4318"/>
    <w:lvl w:ilvl="0" w:tplc="9A147B8C">
      <w:start w:val="1"/>
      <w:numFmt w:val="bullet"/>
      <w:lvlText w:val="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4"/>
  </w:num>
  <w:num w:numId="5">
    <w:abstractNumId w:val="20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19"/>
  </w:num>
  <w:num w:numId="11">
    <w:abstractNumId w:val="21"/>
  </w:num>
  <w:num w:numId="12">
    <w:abstractNumId w:val="14"/>
  </w:num>
  <w:num w:numId="13">
    <w:abstractNumId w:val="16"/>
  </w:num>
  <w:num w:numId="14">
    <w:abstractNumId w:val="15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  <w:num w:numId="19">
    <w:abstractNumId w:val="3"/>
  </w:num>
  <w:num w:numId="20">
    <w:abstractNumId w:val="1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A5"/>
    <w:rsid w:val="00000910"/>
    <w:rsid w:val="0000316E"/>
    <w:rsid w:val="00005C65"/>
    <w:rsid w:val="00010541"/>
    <w:rsid w:val="0001289B"/>
    <w:rsid w:val="0001395D"/>
    <w:rsid w:val="000200AE"/>
    <w:rsid w:val="00024CEE"/>
    <w:rsid w:val="000279F5"/>
    <w:rsid w:val="00030199"/>
    <w:rsid w:val="00033044"/>
    <w:rsid w:val="0003535E"/>
    <w:rsid w:val="000370AF"/>
    <w:rsid w:val="00040C74"/>
    <w:rsid w:val="000433C2"/>
    <w:rsid w:val="000453C6"/>
    <w:rsid w:val="000500F7"/>
    <w:rsid w:val="00050CA2"/>
    <w:rsid w:val="000563B8"/>
    <w:rsid w:val="00057518"/>
    <w:rsid w:val="00057A10"/>
    <w:rsid w:val="00062A7B"/>
    <w:rsid w:val="00063D86"/>
    <w:rsid w:val="000668A8"/>
    <w:rsid w:val="000768B1"/>
    <w:rsid w:val="000811E0"/>
    <w:rsid w:val="000828CD"/>
    <w:rsid w:val="0008407C"/>
    <w:rsid w:val="00084399"/>
    <w:rsid w:val="00085688"/>
    <w:rsid w:val="000920EC"/>
    <w:rsid w:val="00092EC9"/>
    <w:rsid w:val="000932F9"/>
    <w:rsid w:val="000A0865"/>
    <w:rsid w:val="000A286C"/>
    <w:rsid w:val="000B036E"/>
    <w:rsid w:val="000B0852"/>
    <w:rsid w:val="000B0CB0"/>
    <w:rsid w:val="000B20FC"/>
    <w:rsid w:val="000B43E3"/>
    <w:rsid w:val="000B4B9A"/>
    <w:rsid w:val="000B726B"/>
    <w:rsid w:val="000C1040"/>
    <w:rsid w:val="000C3C75"/>
    <w:rsid w:val="000D0571"/>
    <w:rsid w:val="000D1DCE"/>
    <w:rsid w:val="000D2057"/>
    <w:rsid w:val="000D604B"/>
    <w:rsid w:val="000D6A44"/>
    <w:rsid w:val="000E6E45"/>
    <w:rsid w:val="000F2DBF"/>
    <w:rsid w:val="00100B4C"/>
    <w:rsid w:val="00100C18"/>
    <w:rsid w:val="00106CD3"/>
    <w:rsid w:val="00107532"/>
    <w:rsid w:val="00112451"/>
    <w:rsid w:val="001171F0"/>
    <w:rsid w:val="0012569D"/>
    <w:rsid w:val="00130866"/>
    <w:rsid w:val="001341E4"/>
    <w:rsid w:val="00136A90"/>
    <w:rsid w:val="00145CFB"/>
    <w:rsid w:val="00145D1F"/>
    <w:rsid w:val="001500C6"/>
    <w:rsid w:val="00150DB7"/>
    <w:rsid w:val="00154077"/>
    <w:rsid w:val="00154258"/>
    <w:rsid w:val="00157EE6"/>
    <w:rsid w:val="0016199E"/>
    <w:rsid w:val="00164B49"/>
    <w:rsid w:val="00166128"/>
    <w:rsid w:val="00170410"/>
    <w:rsid w:val="001733A9"/>
    <w:rsid w:val="00176BF8"/>
    <w:rsid w:val="0018112E"/>
    <w:rsid w:val="001851C7"/>
    <w:rsid w:val="00190ECB"/>
    <w:rsid w:val="00192100"/>
    <w:rsid w:val="001957A7"/>
    <w:rsid w:val="001A30B0"/>
    <w:rsid w:val="001A61B4"/>
    <w:rsid w:val="001B0CF5"/>
    <w:rsid w:val="001B4BE6"/>
    <w:rsid w:val="001B6A2A"/>
    <w:rsid w:val="001C2971"/>
    <w:rsid w:val="001C5DD3"/>
    <w:rsid w:val="001D4CA6"/>
    <w:rsid w:val="001D5C37"/>
    <w:rsid w:val="001E26A9"/>
    <w:rsid w:val="001E3318"/>
    <w:rsid w:val="001F0544"/>
    <w:rsid w:val="001F3E61"/>
    <w:rsid w:val="00200E96"/>
    <w:rsid w:val="002054DC"/>
    <w:rsid w:val="00205634"/>
    <w:rsid w:val="00211139"/>
    <w:rsid w:val="00211813"/>
    <w:rsid w:val="002120E3"/>
    <w:rsid w:val="00213C91"/>
    <w:rsid w:val="002173C7"/>
    <w:rsid w:val="002215C9"/>
    <w:rsid w:val="0022285C"/>
    <w:rsid w:val="00225292"/>
    <w:rsid w:val="00230CD1"/>
    <w:rsid w:val="00231549"/>
    <w:rsid w:val="002318A0"/>
    <w:rsid w:val="002420F8"/>
    <w:rsid w:val="00243A9B"/>
    <w:rsid w:val="0024739E"/>
    <w:rsid w:val="002641A6"/>
    <w:rsid w:val="0027236A"/>
    <w:rsid w:val="00283222"/>
    <w:rsid w:val="002855D0"/>
    <w:rsid w:val="00290582"/>
    <w:rsid w:val="00292E48"/>
    <w:rsid w:val="00293727"/>
    <w:rsid w:val="002A3138"/>
    <w:rsid w:val="002A67FF"/>
    <w:rsid w:val="002A7BA0"/>
    <w:rsid w:val="002B75D3"/>
    <w:rsid w:val="002C4787"/>
    <w:rsid w:val="002C7C0A"/>
    <w:rsid w:val="002D0456"/>
    <w:rsid w:val="002D462D"/>
    <w:rsid w:val="002E50D5"/>
    <w:rsid w:val="002F7382"/>
    <w:rsid w:val="00301D5F"/>
    <w:rsid w:val="00301EF4"/>
    <w:rsid w:val="00304F42"/>
    <w:rsid w:val="003065CB"/>
    <w:rsid w:val="00307AFB"/>
    <w:rsid w:val="00310B37"/>
    <w:rsid w:val="003123C5"/>
    <w:rsid w:val="00312BFB"/>
    <w:rsid w:val="003175D2"/>
    <w:rsid w:val="00322C40"/>
    <w:rsid w:val="00325820"/>
    <w:rsid w:val="00326A8C"/>
    <w:rsid w:val="00327764"/>
    <w:rsid w:val="00327B25"/>
    <w:rsid w:val="003321C1"/>
    <w:rsid w:val="0033315C"/>
    <w:rsid w:val="00333359"/>
    <w:rsid w:val="0033347F"/>
    <w:rsid w:val="00344077"/>
    <w:rsid w:val="003503FF"/>
    <w:rsid w:val="003528FE"/>
    <w:rsid w:val="003548DE"/>
    <w:rsid w:val="00360640"/>
    <w:rsid w:val="00360CA2"/>
    <w:rsid w:val="00363F7D"/>
    <w:rsid w:val="00365953"/>
    <w:rsid w:val="00372B79"/>
    <w:rsid w:val="00372B92"/>
    <w:rsid w:val="00384515"/>
    <w:rsid w:val="0038677B"/>
    <w:rsid w:val="003A020F"/>
    <w:rsid w:val="003A2122"/>
    <w:rsid w:val="003B6BC5"/>
    <w:rsid w:val="003C0616"/>
    <w:rsid w:val="003C47D4"/>
    <w:rsid w:val="003C7B62"/>
    <w:rsid w:val="003E77D7"/>
    <w:rsid w:val="003F67E0"/>
    <w:rsid w:val="003F6FA5"/>
    <w:rsid w:val="003F791C"/>
    <w:rsid w:val="00403D27"/>
    <w:rsid w:val="004070FF"/>
    <w:rsid w:val="004105E0"/>
    <w:rsid w:val="00410BE7"/>
    <w:rsid w:val="00415A04"/>
    <w:rsid w:val="004203DD"/>
    <w:rsid w:val="00420FAD"/>
    <w:rsid w:val="0042127F"/>
    <w:rsid w:val="0042392C"/>
    <w:rsid w:val="00435558"/>
    <w:rsid w:val="004454BA"/>
    <w:rsid w:val="00451658"/>
    <w:rsid w:val="00451965"/>
    <w:rsid w:val="004576E7"/>
    <w:rsid w:val="00473808"/>
    <w:rsid w:val="00473A8E"/>
    <w:rsid w:val="0047432C"/>
    <w:rsid w:val="0047478E"/>
    <w:rsid w:val="0047649E"/>
    <w:rsid w:val="00476E3C"/>
    <w:rsid w:val="004805BE"/>
    <w:rsid w:val="00480C3F"/>
    <w:rsid w:val="00483FFF"/>
    <w:rsid w:val="0049465C"/>
    <w:rsid w:val="00497783"/>
    <w:rsid w:val="004A0A29"/>
    <w:rsid w:val="004A655D"/>
    <w:rsid w:val="004B0303"/>
    <w:rsid w:val="004B29DC"/>
    <w:rsid w:val="004C003F"/>
    <w:rsid w:val="004C21AD"/>
    <w:rsid w:val="004D224A"/>
    <w:rsid w:val="004D29FD"/>
    <w:rsid w:val="004E5DC8"/>
    <w:rsid w:val="004F02A7"/>
    <w:rsid w:val="004F604A"/>
    <w:rsid w:val="004F6FFF"/>
    <w:rsid w:val="00500674"/>
    <w:rsid w:val="00507343"/>
    <w:rsid w:val="00507F47"/>
    <w:rsid w:val="00510ADF"/>
    <w:rsid w:val="005114CC"/>
    <w:rsid w:val="00514934"/>
    <w:rsid w:val="005158EA"/>
    <w:rsid w:val="0052086E"/>
    <w:rsid w:val="00537C86"/>
    <w:rsid w:val="00544DFA"/>
    <w:rsid w:val="00545C77"/>
    <w:rsid w:val="0054726A"/>
    <w:rsid w:val="00552672"/>
    <w:rsid w:val="005528D9"/>
    <w:rsid w:val="00554EB8"/>
    <w:rsid w:val="0056550B"/>
    <w:rsid w:val="00566653"/>
    <w:rsid w:val="005673FE"/>
    <w:rsid w:val="0057561B"/>
    <w:rsid w:val="00582743"/>
    <w:rsid w:val="00585A12"/>
    <w:rsid w:val="00586C7D"/>
    <w:rsid w:val="0058791A"/>
    <w:rsid w:val="005879BC"/>
    <w:rsid w:val="0059299D"/>
    <w:rsid w:val="00595828"/>
    <w:rsid w:val="005A104A"/>
    <w:rsid w:val="005A2882"/>
    <w:rsid w:val="005A3CE4"/>
    <w:rsid w:val="005A50F6"/>
    <w:rsid w:val="005B1318"/>
    <w:rsid w:val="005B1A98"/>
    <w:rsid w:val="005B2259"/>
    <w:rsid w:val="005B39D1"/>
    <w:rsid w:val="005B508E"/>
    <w:rsid w:val="005B618A"/>
    <w:rsid w:val="005B6D72"/>
    <w:rsid w:val="005C120E"/>
    <w:rsid w:val="005C1FFE"/>
    <w:rsid w:val="005C2865"/>
    <w:rsid w:val="005C46F9"/>
    <w:rsid w:val="005C4E73"/>
    <w:rsid w:val="005C7526"/>
    <w:rsid w:val="005D3E4D"/>
    <w:rsid w:val="005D4C9A"/>
    <w:rsid w:val="005D7077"/>
    <w:rsid w:val="005E0BEE"/>
    <w:rsid w:val="005E72D0"/>
    <w:rsid w:val="005E7929"/>
    <w:rsid w:val="005F3E7C"/>
    <w:rsid w:val="005F44BE"/>
    <w:rsid w:val="005F5ED5"/>
    <w:rsid w:val="00600083"/>
    <w:rsid w:val="00607BC8"/>
    <w:rsid w:val="006106FB"/>
    <w:rsid w:val="00610F67"/>
    <w:rsid w:val="00613637"/>
    <w:rsid w:val="00630BED"/>
    <w:rsid w:val="006357D6"/>
    <w:rsid w:val="00635F5C"/>
    <w:rsid w:val="00646C53"/>
    <w:rsid w:val="0064776A"/>
    <w:rsid w:val="006513A1"/>
    <w:rsid w:val="00657415"/>
    <w:rsid w:val="006621D5"/>
    <w:rsid w:val="00662C58"/>
    <w:rsid w:val="00665E72"/>
    <w:rsid w:val="0066614E"/>
    <w:rsid w:val="00666571"/>
    <w:rsid w:val="00670353"/>
    <w:rsid w:val="0067176F"/>
    <w:rsid w:val="00672544"/>
    <w:rsid w:val="00674391"/>
    <w:rsid w:val="00674A2B"/>
    <w:rsid w:val="00681009"/>
    <w:rsid w:val="00682360"/>
    <w:rsid w:val="006850B2"/>
    <w:rsid w:val="00686285"/>
    <w:rsid w:val="006879D0"/>
    <w:rsid w:val="006900FA"/>
    <w:rsid w:val="00693E69"/>
    <w:rsid w:val="006A4A79"/>
    <w:rsid w:val="006B1296"/>
    <w:rsid w:val="006B4FC2"/>
    <w:rsid w:val="006B65A8"/>
    <w:rsid w:val="006B6CCA"/>
    <w:rsid w:val="006C277D"/>
    <w:rsid w:val="006C3730"/>
    <w:rsid w:val="006D0651"/>
    <w:rsid w:val="006D10F9"/>
    <w:rsid w:val="006D329E"/>
    <w:rsid w:val="006D5D76"/>
    <w:rsid w:val="006E526C"/>
    <w:rsid w:val="006E5FDF"/>
    <w:rsid w:val="006F089D"/>
    <w:rsid w:val="006F0F76"/>
    <w:rsid w:val="006F4C74"/>
    <w:rsid w:val="006F5E05"/>
    <w:rsid w:val="006F67FB"/>
    <w:rsid w:val="00706E8A"/>
    <w:rsid w:val="0071257D"/>
    <w:rsid w:val="00720100"/>
    <w:rsid w:val="00723AA4"/>
    <w:rsid w:val="00726507"/>
    <w:rsid w:val="00733CCC"/>
    <w:rsid w:val="00734DFA"/>
    <w:rsid w:val="00743530"/>
    <w:rsid w:val="007510E0"/>
    <w:rsid w:val="00753B9C"/>
    <w:rsid w:val="0075465D"/>
    <w:rsid w:val="00756FD0"/>
    <w:rsid w:val="00763676"/>
    <w:rsid w:val="00774DC6"/>
    <w:rsid w:val="00777F8A"/>
    <w:rsid w:val="00786864"/>
    <w:rsid w:val="00787620"/>
    <w:rsid w:val="00790665"/>
    <w:rsid w:val="007A1905"/>
    <w:rsid w:val="007A642A"/>
    <w:rsid w:val="007B27D7"/>
    <w:rsid w:val="007B6EE5"/>
    <w:rsid w:val="007C25C3"/>
    <w:rsid w:val="007C2884"/>
    <w:rsid w:val="007C3603"/>
    <w:rsid w:val="007D0B00"/>
    <w:rsid w:val="007D1451"/>
    <w:rsid w:val="007D44FF"/>
    <w:rsid w:val="007E17A4"/>
    <w:rsid w:val="007E4983"/>
    <w:rsid w:val="007E6CED"/>
    <w:rsid w:val="007F000F"/>
    <w:rsid w:val="007F1944"/>
    <w:rsid w:val="007F4AD5"/>
    <w:rsid w:val="007F68CC"/>
    <w:rsid w:val="00802987"/>
    <w:rsid w:val="0082021F"/>
    <w:rsid w:val="00830857"/>
    <w:rsid w:val="00843759"/>
    <w:rsid w:val="00852B7A"/>
    <w:rsid w:val="00866DE4"/>
    <w:rsid w:val="00870D73"/>
    <w:rsid w:val="00872828"/>
    <w:rsid w:val="008734C5"/>
    <w:rsid w:val="00874B01"/>
    <w:rsid w:val="008816AE"/>
    <w:rsid w:val="00892B75"/>
    <w:rsid w:val="008951A9"/>
    <w:rsid w:val="008A04D8"/>
    <w:rsid w:val="008A3216"/>
    <w:rsid w:val="008A3340"/>
    <w:rsid w:val="008A3F59"/>
    <w:rsid w:val="008A42A4"/>
    <w:rsid w:val="008A5B8C"/>
    <w:rsid w:val="008B1006"/>
    <w:rsid w:val="008C1624"/>
    <w:rsid w:val="008C1A60"/>
    <w:rsid w:val="008C3B0C"/>
    <w:rsid w:val="008D009B"/>
    <w:rsid w:val="008D787E"/>
    <w:rsid w:val="008F05D2"/>
    <w:rsid w:val="008F0C04"/>
    <w:rsid w:val="008F1CB7"/>
    <w:rsid w:val="008F4261"/>
    <w:rsid w:val="008F6228"/>
    <w:rsid w:val="008F690A"/>
    <w:rsid w:val="008F6D9F"/>
    <w:rsid w:val="00901DA0"/>
    <w:rsid w:val="00904C62"/>
    <w:rsid w:val="00915239"/>
    <w:rsid w:val="00924238"/>
    <w:rsid w:val="00925814"/>
    <w:rsid w:val="00925DFF"/>
    <w:rsid w:val="00930655"/>
    <w:rsid w:val="00932B80"/>
    <w:rsid w:val="00933061"/>
    <w:rsid w:val="00942CB2"/>
    <w:rsid w:val="00947056"/>
    <w:rsid w:val="0095321C"/>
    <w:rsid w:val="00957CBF"/>
    <w:rsid w:val="00962246"/>
    <w:rsid w:val="00971779"/>
    <w:rsid w:val="0097504E"/>
    <w:rsid w:val="00975655"/>
    <w:rsid w:val="009873D9"/>
    <w:rsid w:val="00991BB8"/>
    <w:rsid w:val="00992F84"/>
    <w:rsid w:val="00994158"/>
    <w:rsid w:val="00994C9F"/>
    <w:rsid w:val="00994FA8"/>
    <w:rsid w:val="00994FE2"/>
    <w:rsid w:val="00995D26"/>
    <w:rsid w:val="009A4980"/>
    <w:rsid w:val="009A4FCD"/>
    <w:rsid w:val="009A73C0"/>
    <w:rsid w:val="009B2394"/>
    <w:rsid w:val="009B444E"/>
    <w:rsid w:val="009C480E"/>
    <w:rsid w:val="009C6D2E"/>
    <w:rsid w:val="009D05DD"/>
    <w:rsid w:val="009D2880"/>
    <w:rsid w:val="009D2FB1"/>
    <w:rsid w:val="009D579E"/>
    <w:rsid w:val="009D5E61"/>
    <w:rsid w:val="009D7BEB"/>
    <w:rsid w:val="009E54FE"/>
    <w:rsid w:val="009E69E7"/>
    <w:rsid w:val="009E6D3B"/>
    <w:rsid w:val="009F0F58"/>
    <w:rsid w:val="009F3DB7"/>
    <w:rsid w:val="009F6973"/>
    <w:rsid w:val="00A00F24"/>
    <w:rsid w:val="00A01F63"/>
    <w:rsid w:val="00A06442"/>
    <w:rsid w:val="00A11FF7"/>
    <w:rsid w:val="00A12C0D"/>
    <w:rsid w:val="00A12F8B"/>
    <w:rsid w:val="00A2287D"/>
    <w:rsid w:val="00A25391"/>
    <w:rsid w:val="00A276A2"/>
    <w:rsid w:val="00A27E80"/>
    <w:rsid w:val="00A324C1"/>
    <w:rsid w:val="00A33A6F"/>
    <w:rsid w:val="00A33C3D"/>
    <w:rsid w:val="00A41908"/>
    <w:rsid w:val="00A43BE5"/>
    <w:rsid w:val="00A445BB"/>
    <w:rsid w:val="00A54DA5"/>
    <w:rsid w:val="00A623C7"/>
    <w:rsid w:val="00A64460"/>
    <w:rsid w:val="00A6523D"/>
    <w:rsid w:val="00A725F0"/>
    <w:rsid w:val="00A73508"/>
    <w:rsid w:val="00A73806"/>
    <w:rsid w:val="00A74B63"/>
    <w:rsid w:val="00A77305"/>
    <w:rsid w:val="00A81EA4"/>
    <w:rsid w:val="00A90395"/>
    <w:rsid w:val="00A9078D"/>
    <w:rsid w:val="00A92B5B"/>
    <w:rsid w:val="00A93DD2"/>
    <w:rsid w:val="00A93F81"/>
    <w:rsid w:val="00AA1C63"/>
    <w:rsid w:val="00AA1D59"/>
    <w:rsid w:val="00AA34A9"/>
    <w:rsid w:val="00AB0A86"/>
    <w:rsid w:val="00AB14C3"/>
    <w:rsid w:val="00AB59C1"/>
    <w:rsid w:val="00AB66F9"/>
    <w:rsid w:val="00AC267B"/>
    <w:rsid w:val="00AD0C8B"/>
    <w:rsid w:val="00AD516B"/>
    <w:rsid w:val="00AD5AEE"/>
    <w:rsid w:val="00AE1AB2"/>
    <w:rsid w:val="00AE2B47"/>
    <w:rsid w:val="00AE73A6"/>
    <w:rsid w:val="00B018BB"/>
    <w:rsid w:val="00B02318"/>
    <w:rsid w:val="00B03206"/>
    <w:rsid w:val="00B03D49"/>
    <w:rsid w:val="00B109BA"/>
    <w:rsid w:val="00B1132E"/>
    <w:rsid w:val="00B11FF7"/>
    <w:rsid w:val="00B12988"/>
    <w:rsid w:val="00B17761"/>
    <w:rsid w:val="00B213EF"/>
    <w:rsid w:val="00B21D83"/>
    <w:rsid w:val="00B22BF6"/>
    <w:rsid w:val="00B31632"/>
    <w:rsid w:val="00B46243"/>
    <w:rsid w:val="00B475E4"/>
    <w:rsid w:val="00B5142F"/>
    <w:rsid w:val="00B60BBC"/>
    <w:rsid w:val="00B666CD"/>
    <w:rsid w:val="00B66893"/>
    <w:rsid w:val="00B7075C"/>
    <w:rsid w:val="00B71C85"/>
    <w:rsid w:val="00B7236B"/>
    <w:rsid w:val="00B77B15"/>
    <w:rsid w:val="00B8098E"/>
    <w:rsid w:val="00B8319B"/>
    <w:rsid w:val="00B90F73"/>
    <w:rsid w:val="00B91A80"/>
    <w:rsid w:val="00B91BAC"/>
    <w:rsid w:val="00B9316B"/>
    <w:rsid w:val="00B9343A"/>
    <w:rsid w:val="00B97E66"/>
    <w:rsid w:val="00BA24AB"/>
    <w:rsid w:val="00BA7DEC"/>
    <w:rsid w:val="00BB0236"/>
    <w:rsid w:val="00BB1D7A"/>
    <w:rsid w:val="00BB27AF"/>
    <w:rsid w:val="00BB2DA3"/>
    <w:rsid w:val="00BB3B86"/>
    <w:rsid w:val="00BC0E6C"/>
    <w:rsid w:val="00BC370E"/>
    <w:rsid w:val="00BC62ED"/>
    <w:rsid w:val="00BD0B84"/>
    <w:rsid w:val="00BD2FDF"/>
    <w:rsid w:val="00BD3A66"/>
    <w:rsid w:val="00BD55BE"/>
    <w:rsid w:val="00BD6320"/>
    <w:rsid w:val="00BD6941"/>
    <w:rsid w:val="00BE16E1"/>
    <w:rsid w:val="00BE1930"/>
    <w:rsid w:val="00BE6EB3"/>
    <w:rsid w:val="00BF4F69"/>
    <w:rsid w:val="00C0331E"/>
    <w:rsid w:val="00C0338C"/>
    <w:rsid w:val="00C054FC"/>
    <w:rsid w:val="00C065C4"/>
    <w:rsid w:val="00C16653"/>
    <w:rsid w:val="00C216E8"/>
    <w:rsid w:val="00C22940"/>
    <w:rsid w:val="00C23B4B"/>
    <w:rsid w:val="00C26B08"/>
    <w:rsid w:val="00C41A34"/>
    <w:rsid w:val="00C47EC7"/>
    <w:rsid w:val="00C5241C"/>
    <w:rsid w:val="00C6035E"/>
    <w:rsid w:val="00C6100C"/>
    <w:rsid w:val="00C61A57"/>
    <w:rsid w:val="00C62759"/>
    <w:rsid w:val="00C64C68"/>
    <w:rsid w:val="00C67057"/>
    <w:rsid w:val="00C67927"/>
    <w:rsid w:val="00C7550D"/>
    <w:rsid w:val="00C87766"/>
    <w:rsid w:val="00C91B7B"/>
    <w:rsid w:val="00CA660D"/>
    <w:rsid w:val="00CB6F70"/>
    <w:rsid w:val="00CC00A9"/>
    <w:rsid w:val="00CC115F"/>
    <w:rsid w:val="00CC30BE"/>
    <w:rsid w:val="00CC5256"/>
    <w:rsid w:val="00CD232D"/>
    <w:rsid w:val="00CD5112"/>
    <w:rsid w:val="00CF55C0"/>
    <w:rsid w:val="00CF5936"/>
    <w:rsid w:val="00CF7A0F"/>
    <w:rsid w:val="00D004AA"/>
    <w:rsid w:val="00D0223C"/>
    <w:rsid w:val="00D02E4C"/>
    <w:rsid w:val="00D12528"/>
    <w:rsid w:val="00D1606E"/>
    <w:rsid w:val="00D21BBB"/>
    <w:rsid w:val="00D23F59"/>
    <w:rsid w:val="00D25066"/>
    <w:rsid w:val="00D45695"/>
    <w:rsid w:val="00D502CE"/>
    <w:rsid w:val="00D54493"/>
    <w:rsid w:val="00D55AB8"/>
    <w:rsid w:val="00D725D5"/>
    <w:rsid w:val="00D74440"/>
    <w:rsid w:val="00D83547"/>
    <w:rsid w:val="00D85006"/>
    <w:rsid w:val="00D85F53"/>
    <w:rsid w:val="00D929A6"/>
    <w:rsid w:val="00D93313"/>
    <w:rsid w:val="00D941FF"/>
    <w:rsid w:val="00D9540D"/>
    <w:rsid w:val="00D95939"/>
    <w:rsid w:val="00DA7CDD"/>
    <w:rsid w:val="00DB0DB0"/>
    <w:rsid w:val="00DB429D"/>
    <w:rsid w:val="00DB5EC0"/>
    <w:rsid w:val="00DC4443"/>
    <w:rsid w:val="00DC466E"/>
    <w:rsid w:val="00DC7E96"/>
    <w:rsid w:val="00DD0280"/>
    <w:rsid w:val="00DD24F3"/>
    <w:rsid w:val="00DD3035"/>
    <w:rsid w:val="00DE13E3"/>
    <w:rsid w:val="00DE543E"/>
    <w:rsid w:val="00DF1872"/>
    <w:rsid w:val="00DF6947"/>
    <w:rsid w:val="00E0201F"/>
    <w:rsid w:val="00E05BFF"/>
    <w:rsid w:val="00E05E1F"/>
    <w:rsid w:val="00E105E4"/>
    <w:rsid w:val="00E12AAD"/>
    <w:rsid w:val="00E1715E"/>
    <w:rsid w:val="00E20558"/>
    <w:rsid w:val="00E23D6C"/>
    <w:rsid w:val="00E2768C"/>
    <w:rsid w:val="00E27CD9"/>
    <w:rsid w:val="00E31E99"/>
    <w:rsid w:val="00E31F32"/>
    <w:rsid w:val="00E3485F"/>
    <w:rsid w:val="00E558D6"/>
    <w:rsid w:val="00E55E8D"/>
    <w:rsid w:val="00E560FE"/>
    <w:rsid w:val="00E56E81"/>
    <w:rsid w:val="00E60B4D"/>
    <w:rsid w:val="00E65A07"/>
    <w:rsid w:val="00E6672A"/>
    <w:rsid w:val="00E7202C"/>
    <w:rsid w:val="00E762F2"/>
    <w:rsid w:val="00E80E28"/>
    <w:rsid w:val="00E81365"/>
    <w:rsid w:val="00E8339D"/>
    <w:rsid w:val="00E91B4A"/>
    <w:rsid w:val="00E948F1"/>
    <w:rsid w:val="00E960A3"/>
    <w:rsid w:val="00EA17D5"/>
    <w:rsid w:val="00EA3870"/>
    <w:rsid w:val="00EA5BF8"/>
    <w:rsid w:val="00EB799B"/>
    <w:rsid w:val="00EC2C6E"/>
    <w:rsid w:val="00EC5412"/>
    <w:rsid w:val="00EC647B"/>
    <w:rsid w:val="00ED1640"/>
    <w:rsid w:val="00ED1EAE"/>
    <w:rsid w:val="00ED25ED"/>
    <w:rsid w:val="00ED4B89"/>
    <w:rsid w:val="00EE6A9E"/>
    <w:rsid w:val="00EF1116"/>
    <w:rsid w:val="00F01A6D"/>
    <w:rsid w:val="00F01ACE"/>
    <w:rsid w:val="00F04722"/>
    <w:rsid w:val="00F056BE"/>
    <w:rsid w:val="00F101F5"/>
    <w:rsid w:val="00F13A00"/>
    <w:rsid w:val="00F14E77"/>
    <w:rsid w:val="00F17442"/>
    <w:rsid w:val="00F23D76"/>
    <w:rsid w:val="00F3544D"/>
    <w:rsid w:val="00F358BF"/>
    <w:rsid w:val="00F41814"/>
    <w:rsid w:val="00F42F3B"/>
    <w:rsid w:val="00F4717D"/>
    <w:rsid w:val="00F63867"/>
    <w:rsid w:val="00F6617C"/>
    <w:rsid w:val="00F67E16"/>
    <w:rsid w:val="00F67F43"/>
    <w:rsid w:val="00F70D2F"/>
    <w:rsid w:val="00F73601"/>
    <w:rsid w:val="00F7445C"/>
    <w:rsid w:val="00F74676"/>
    <w:rsid w:val="00F75E2B"/>
    <w:rsid w:val="00F764D2"/>
    <w:rsid w:val="00F80218"/>
    <w:rsid w:val="00F845E4"/>
    <w:rsid w:val="00F92878"/>
    <w:rsid w:val="00FA3F92"/>
    <w:rsid w:val="00FA70B6"/>
    <w:rsid w:val="00FB21FC"/>
    <w:rsid w:val="00FC09F4"/>
    <w:rsid w:val="00FC5A8B"/>
    <w:rsid w:val="00FC7505"/>
    <w:rsid w:val="00FD5C4D"/>
    <w:rsid w:val="00FE04C1"/>
    <w:rsid w:val="00FE0FE3"/>
    <w:rsid w:val="00FE221D"/>
    <w:rsid w:val="00FE296A"/>
    <w:rsid w:val="00FE29EA"/>
    <w:rsid w:val="00FE2F8A"/>
    <w:rsid w:val="00FE67CB"/>
    <w:rsid w:val="00FF1CC0"/>
    <w:rsid w:val="00FF3B71"/>
    <w:rsid w:val="00FF498B"/>
    <w:rsid w:val="17AF6ED0"/>
    <w:rsid w:val="42AA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0DF3E"/>
  <w15:docId w15:val="{BD4F5427-C5BA-4514-B0C6-369CCC63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D5E61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3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Body Text"/>
    <w:aliases w:val="表格"/>
    <w:basedOn w:val="a"/>
    <w:link w:val="a8"/>
    <w:qFormat/>
    <w:rsid w:val="00170410"/>
    <w:pPr>
      <w:widowControl w:val="0"/>
      <w:spacing w:before="60" w:after="60" w:line="360" w:lineRule="auto"/>
      <w:ind w:firstLineChars="200" w:firstLine="200"/>
      <w:jc w:val="both"/>
    </w:pPr>
    <w:rPr>
      <w:rFonts w:eastAsia="宋体" w:cs="Times New Roman"/>
      <w:color w:val="auto"/>
      <w:sz w:val="24"/>
      <w:lang w:val="x-none" w:eastAsia="x-none"/>
    </w:rPr>
  </w:style>
  <w:style w:type="character" w:customStyle="1" w:styleId="Char">
    <w:name w:val="正文文本 Char"/>
    <w:basedOn w:val="a0"/>
    <w:uiPriority w:val="99"/>
    <w:semiHidden/>
    <w:rsid w:val="00170410"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8">
    <w:name w:val="正文文本 字符"/>
    <w:aliases w:val="表格 字符"/>
    <w:basedOn w:val="a0"/>
    <w:link w:val="a7"/>
    <w:qFormat/>
    <w:rsid w:val="00170410"/>
    <w:rPr>
      <w:rFonts w:ascii="Calibri" w:eastAsia="宋体" w:hAnsi="Calibri" w:cs="Times New Roman"/>
      <w:kern w:val="2"/>
      <w:sz w:val="24"/>
      <w:szCs w:val="22"/>
      <w:lang w:val="x-none" w:eastAsia="x-none"/>
    </w:rPr>
  </w:style>
  <w:style w:type="paragraph" w:styleId="a9">
    <w:name w:val="List Paragraph"/>
    <w:basedOn w:val="a"/>
    <w:uiPriority w:val="34"/>
    <w:qFormat/>
    <w:rsid w:val="00170410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D579E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D579E"/>
    <w:rPr>
      <w:rFonts w:ascii="Calibri" w:eastAsia="Calibri" w:hAnsi="Calibri" w:cs="Calibri"/>
      <w:color w:val="000000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D5E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7A190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7A1905"/>
  </w:style>
  <w:style w:type="character" w:customStyle="1" w:styleId="ae">
    <w:name w:val="批注文字 字符"/>
    <w:basedOn w:val="a0"/>
    <w:link w:val="ad"/>
    <w:uiPriority w:val="99"/>
    <w:semiHidden/>
    <w:rsid w:val="007A1905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190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7A1905"/>
    <w:rPr>
      <w:rFonts w:ascii="Calibri" w:eastAsia="Calibri" w:hAnsi="Calibri" w:cs="Calibri"/>
      <w:b/>
      <w:bCs/>
      <w:color w:val="000000"/>
      <w:kern w:val="2"/>
      <w:sz w:val="22"/>
      <w:szCs w:val="22"/>
    </w:rPr>
  </w:style>
  <w:style w:type="paragraph" w:styleId="af1">
    <w:name w:val="Normal (Web)"/>
    <w:basedOn w:val="a"/>
    <w:uiPriority w:val="99"/>
    <w:unhideWhenUsed/>
    <w:rsid w:val="00AE1AB2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bjh-p">
    <w:name w:val="bjh-p"/>
    <w:basedOn w:val="a0"/>
    <w:rsid w:val="00AE1AB2"/>
  </w:style>
  <w:style w:type="character" w:styleId="af2">
    <w:name w:val="Strong"/>
    <w:basedOn w:val="a0"/>
    <w:uiPriority w:val="22"/>
    <w:qFormat/>
    <w:rsid w:val="00C054FC"/>
    <w:rPr>
      <w:b/>
      <w:bCs/>
    </w:rPr>
  </w:style>
  <w:style w:type="character" w:customStyle="1" w:styleId="30">
    <w:name w:val="标题 3 字符"/>
    <w:basedOn w:val="a0"/>
    <w:link w:val="3"/>
    <w:uiPriority w:val="9"/>
    <w:semiHidden/>
    <w:rsid w:val="00C6035E"/>
    <w:rPr>
      <w:rFonts w:ascii="Calibri" w:eastAsia="Calibri" w:hAnsi="Calibri" w:cs="Calibri"/>
      <w:b/>
      <w:bCs/>
      <w:color w:val="000000"/>
      <w:kern w:val="2"/>
      <w:sz w:val="32"/>
      <w:szCs w:val="32"/>
    </w:rPr>
  </w:style>
  <w:style w:type="character" w:styleId="af3">
    <w:name w:val="Hyperlink"/>
    <w:basedOn w:val="a0"/>
    <w:uiPriority w:val="99"/>
    <w:semiHidden/>
    <w:unhideWhenUsed/>
    <w:rsid w:val="00C6035E"/>
    <w:rPr>
      <w:color w:val="0000FF"/>
      <w:u w:val="single"/>
    </w:rPr>
  </w:style>
  <w:style w:type="character" w:styleId="af4">
    <w:name w:val="Emphasis"/>
    <w:basedOn w:val="a0"/>
    <w:uiPriority w:val="20"/>
    <w:qFormat/>
    <w:rsid w:val="00C6035E"/>
    <w:rPr>
      <w:i/>
      <w:iCs/>
    </w:rPr>
  </w:style>
  <w:style w:type="paragraph" w:styleId="af5">
    <w:name w:val="Plain Text"/>
    <w:basedOn w:val="a"/>
    <w:link w:val="af6"/>
    <w:uiPriority w:val="99"/>
    <w:unhideWhenUsed/>
    <w:rsid w:val="00BB27AF"/>
    <w:pPr>
      <w:spacing w:after="0" w:line="360" w:lineRule="auto"/>
      <w:ind w:firstLineChars="200" w:firstLine="200"/>
    </w:pPr>
    <w:rPr>
      <w:rFonts w:ascii="等线" w:eastAsia="等线" w:hAnsi="Courier New" w:cs="Courier New"/>
      <w:color w:val="auto"/>
      <w:sz w:val="24"/>
      <w:szCs w:val="24"/>
    </w:rPr>
  </w:style>
  <w:style w:type="character" w:customStyle="1" w:styleId="Char0">
    <w:name w:val="纯文本 Char"/>
    <w:basedOn w:val="a0"/>
    <w:uiPriority w:val="99"/>
    <w:semiHidden/>
    <w:rsid w:val="00BB27AF"/>
    <w:rPr>
      <w:rFonts w:ascii="宋体" w:eastAsia="宋体" w:hAnsi="Courier New" w:cs="Courier New"/>
      <w:color w:val="000000"/>
      <w:kern w:val="2"/>
      <w:sz w:val="21"/>
      <w:szCs w:val="21"/>
    </w:rPr>
  </w:style>
  <w:style w:type="character" w:customStyle="1" w:styleId="af6">
    <w:name w:val="纯文本 字符"/>
    <w:link w:val="af5"/>
    <w:uiPriority w:val="99"/>
    <w:rsid w:val="00BB27AF"/>
    <w:rPr>
      <w:rFonts w:ascii="等线" w:eastAsia="等线" w:hAnsi="Courier New" w:cs="Courier New"/>
      <w:kern w:val="2"/>
      <w:sz w:val="24"/>
      <w:szCs w:val="24"/>
    </w:rPr>
  </w:style>
  <w:style w:type="character" w:customStyle="1" w:styleId="text-only">
    <w:name w:val="text-only"/>
    <w:basedOn w:val="a0"/>
    <w:rsid w:val="006F67FB"/>
  </w:style>
  <w:style w:type="paragraph" w:styleId="HTML">
    <w:name w:val="HTML Preformatted"/>
    <w:basedOn w:val="a"/>
    <w:link w:val="HTML0"/>
    <w:uiPriority w:val="99"/>
    <w:unhideWhenUsed/>
    <w:rsid w:val="006F6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6F67FB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2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5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0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4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06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9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7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03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7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3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9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8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79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87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410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21B6D-56A6-4A23-B840-2E9DFA9C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5</Pages>
  <Words>469</Words>
  <Characters>2674</Characters>
  <Application>Microsoft Office Word</Application>
  <DocSecurity>0</DocSecurity>
  <Lines>22</Lines>
  <Paragraphs>6</Paragraphs>
  <ScaleCrop>false</ScaleCrop>
  <Company>QN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HYC_财务部_任艺男</dc:creator>
  <cp:keywords/>
  <dc:description/>
  <cp:lastModifiedBy>ir</cp:lastModifiedBy>
  <cp:revision>139</cp:revision>
  <cp:lastPrinted>2023-10-25T11:35:00Z</cp:lastPrinted>
  <dcterms:created xsi:type="dcterms:W3CDTF">2024-04-07T05:27:00Z</dcterms:created>
  <dcterms:modified xsi:type="dcterms:W3CDTF">2024-05-30T08:25:00Z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